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54DC9" w14:textId="77777777" w:rsidR="006C46C9" w:rsidRPr="00076B50" w:rsidRDefault="006C46C9" w:rsidP="00ED1A8B">
      <w:pPr>
        <w:pStyle w:val="Default"/>
        <w:rPr>
          <w:b/>
          <w:bCs/>
          <w:color w:val="auto"/>
        </w:rPr>
      </w:pPr>
    </w:p>
    <w:p w14:paraId="39C5F65B" w14:textId="77777777" w:rsidR="00F571D6" w:rsidRPr="00076B50" w:rsidRDefault="00F571D6">
      <w:pPr>
        <w:spacing w:before="3" w:line="120" w:lineRule="exact"/>
        <w:rPr>
          <w:rFonts w:ascii="Times New Roman" w:hAnsi="Times New Roman" w:cs="Times New Roman"/>
          <w:sz w:val="24"/>
          <w:szCs w:val="24"/>
        </w:rPr>
      </w:pPr>
    </w:p>
    <w:p w14:paraId="7A88CEE8" w14:textId="2B0D7D55" w:rsidR="00F571D6" w:rsidRPr="00076B50" w:rsidRDefault="00C03810">
      <w:pPr>
        <w:ind w:right="297"/>
        <w:jc w:val="center"/>
        <w:rPr>
          <w:rFonts w:ascii="Times New Roman" w:eastAsia="Times New Roman" w:hAnsi="Times New Roman" w:cs="Times New Roman"/>
          <w:b/>
          <w:bCs/>
          <w:sz w:val="24"/>
          <w:szCs w:val="24"/>
          <w:u w:val="thick" w:color="000000"/>
        </w:rPr>
      </w:pPr>
      <w:r w:rsidRPr="00076B50">
        <w:rPr>
          <w:rFonts w:ascii="Times New Roman" w:eastAsia="Times New Roman" w:hAnsi="Times New Roman" w:cs="Times New Roman"/>
          <w:b/>
          <w:bCs/>
          <w:spacing w:val="-2"/>
          <w:sz w:val="24"/>
          <w:szCs w:val="24"/>
          <w:u w:val="thick" w:color="000000"/>
        </w:rPr>
        <w:t>DA</w:t>
      </w:r>
      <w:r w:rsidRPr="00076B50">
        <w:rPr>
          <w:rFonts w:ascii="Times New Roman" w:eastAsia="Times New Roman" w:hAnsi="Times New Roman" w:cs="Times New Roman"/>
          <w:b/>
          <w:bCs/>
          <w:spacing w:val="-1"/>
          <w:sz w:val="24"/>
          <w:szCs w:val="24"/>
          <w:u w:val="thick" w:color="000000"/>
        </w:rPr>
        <w:t>T</w:t>
      </w:r>
      <w:r w:rsidRPr="00076B50">
        <w:rPr>
          <w:rFonts w:ascii="Times New Roman" w:eastAsia="Times New Roman" w:hAnsi="Times New Roman" w:cs="Times New Roman"/>
          <w:b/>
          <w:bCs/>
          <w:sz w:val="24"/>
          <w:szCs w:val="24"/>
          <w:u w:val="thick" w:color="000000"/>
        </w:rPr>
        <w:t>A</w:t>
      </w:r>
      <w:r w:rsidRPr="00076B50">
        <w:rPr>
          <w:rFonts w:ascii="Times New Roman" w:eastAsia="Times New Roman" w:hAnsi="Times New Roman" w:cs="Times New Roman"/>
          <w:b/>
          <w:bCs/>
          <w:spacing w:val="-2"/>
          <w:sz w:val="24"/>
          <w:szCs w:val="24"/>
          <w:u w:val="thick" w:color="000000"/>
        </w:rPr>
        <w:t xml:space="preserve"> R</w:t>
      </w:r>
      <w:r w:rsidRPr="00076B50">
        <w:rPr>
          <w:rFonts w:ascii="Times New Roman" w:eastAsia="Times New Roman" w:hAnsi="Times New Roman" w:cs="Times New Roman"/>
          <w:b/>
          <w:bCs/>
          <w:spacing w:val="-1"/>
          <w:sz w:val="24"/>
          <w:szCs w:val="24"/>
          <w:u w:val="thick" w:color="000000"/>
        </w:rPr>
        <w:t>E</w:t>
      </w:r>
      <w:r w:rsidRPr="00076B50">
        <w:rPr>
          <w:rFonts w:ascii="Times New Roman" w:eastAsia="Times New Roman" w:hAnsi="Times New Roman" w:cs="Times New Roman"/>
          <w:b/>
          <w:bCs/>
          <w:sz w:val="24"/>
          <w:szCs w:val="24"/>
          <w:u w:val="thick" w:color="000000"/>
        </w:rPr>
        <w:t>Q</w:t>
      </w:r>
      <w:r w:rsidRPr="00076B50">
        <w:rPr>
          <w:rFonts w:ascii="Times New Roman" w:eastAsia="Times New Roman" w:hAnsi="Times New Roman" w:cs="Times New Roman"/>
          <w:b/>
          <w:bCs/>
          <w:spacing w:val="-2"/>
          <w:sz w:val="24"/>
          <w:szCs w:val="24"/>
          <w:u w:val="thick" w:color="000000"/>
        </w:rPr>
        <w:t>U</w:t>
      </w:r>
      <w:r w:rsidRPr="00076B50">
        <w:rPr>
          <w:rFonts w:ascii="Times New Roman" w:eastAsia="Times New Roman" w:hAnsi="Times New Roman" w:cs="Times New Roman"/>
          <w:b/>
          <w:bCs/>
          <w:spacing w:val="-1"/>
          <w:sz w:val="24"/>
          <w:szCs w:val="24"/>
          <w:u w:val="thick" w:color="000000"/>
        </w:rPr>
        <w:t>E</w:t>
      </w:r>
      <w:r w:rsidRPr="00076B50">
        <w:rPr>
          <w:rFonts w:ascii="Times New Roman" w:eastAsia="Times New Roman" w:hAnsi="Times New Roman" w:cs="Times New Roman"/>
          <w:b/>
          <w:bCs/>
          <w:sz w:val="24"/>
          <w:szCs w:val="24"/>
          <w:u w:val="thick" w:color="000000"/>
        </w:rPr>
        <w:t>ST</w:t>
      </w:r>
    </w:p>
    <w:p w14:paraId="063B9248" w14:textId="243095E5" w:rsidR="00F65911" w:rsidRPr="00E7705E" w:rsidRDefault="00E7705E" w:rsidP="00E7705E">
      <w:pPr>
        <w:widowControl/>
        <w:jc w:val="center"/>
        <w:rPr>
          <w:rFonts w:ascii="Times New Roman" w:eastAsia="Times New Roman" w:hAnsi="Times New Roman" w:cs="Times New Roman"/>
          <w:sz w:val="24"/>
          <w:szCs w:val="24"/>
        </w:rPr>
      </w:pPr>
      <w:r w:rsidRPr="00E7705E">
        <w:rPr>
          <w:rFonts w:ascii="Times New Roman" w:hAnsi="Times New Roman" w:cs="Times New Roman"/>
          <w:b/>
          <w:bCs/>
          <w:sz w:val="24"/>
          <w:szCs w:val="24"/>
        </w:rPr>
        <w:t>SUBJECT: FOLLOW UP TO SDG&amp;E’S RESPONSES TO CAL ADVOCATES DR #3 ON FLEXIBLE GENERATION CAPACITY</w:t>
      </w:r>
    </w:p>
    <w:p w14:paraId="3BF66D18" w14:textId="77C40928" w:rsidR="00F65911" w:rsidRPr="00076B50" w:rsidRDefault="00F65911" w:rsidP="00CB269D">
      <w:pPr>
        <w:widowControl/>
        <w:rPr>
          <w:rFonts w:ascii="Times New Roman" w:eastAsia="Times New Roman" w:hAnsi="Times New Roman" w:cs="Times New Roman"/>
          <w:sz w:val="24"/>
          <w:szCs w:val="24"/>
        </w:rPr>
      </w:pPr>
    </w:p>
    <w:p w14:paraId="0FC29115" w14:textId="77777777" w:rsidR="00E7705E" w:rsidRPr="00E7705E" w:rsidRDefault="00E7705E" w:rsidP="00E7705E">
      <w:pPr>
        <w:widowControl/>
        <w:autoSpaceDE w:val="0"/>
        <w:autoSpaceDN w:val="0"/>
        <w:adjustRightInd w:val="0"/>
        <w:rPr>
          <w:rFonts w:ascii="Times New Roman" w:hAnsi="Times New Roman" w:cs="Times New Roman"/>
          <w:color w:val="000000"/>
          <w:sz w:val="24"/>
          <w:szCs w:val="24"/>
        </w:rPr>
      </w:pPr>
    </w:p>
    <w:p w14:paraId="36447D6A" w14:textId="76F274C1" w:rsidR="00E7705E" w:rsidRDefault="00E7705E" w:rsidP="00E7705E">
      <w:pPr>
        <w:widowControl/>
        <w:autoSpaceDE w:val="0"/>
        <w:autoSpaceDN w:val="0"/>
        <w:adjustRightInd w:val="0"/>
        <w:spacing w:after="267"/>
        <w:rPr>
          <w:rFonts w:ascii="Times New Roman" w:hAnsi="Times New Roman" w:cs="Times New Roman"/>
          <w:color w:val="000000"/>
          <w:sz w:val="23"/>
          <w:szCs w:val="23"/>
        </w:rPr>
      </w:pPr>
      <w:r w:rsidRPr="00E7705E">
        <w:rPr>
          <w:rFonts w:ascii="Times New Roman" w:hAnsi="Times New Roman" w:cs="Times New Roman"/>
          <w:color w:val="000000"/>
          <w:sz w:val="23"/>
          <w:szCs w:val="23"/>
        </w:rPr>
        <w:t xml:space="preserve">1. For DR 3 question 3, please provide the hourly load profiles at the rate class level (same as DR 3 question #5), including an 8760 hourly system load shape for the new </w:t>
      </w:r>
      <w:proofErr w:type="gramStart"/>
      <w:r w:rsidRPr="00E7705E">
        <w:rPr>
          <w:rFonts w:ascii="Times New Roman" w:hAnsi="Times New Roman" w:cs="Times New Roman"/>
          <w:color w:val="000000"/>
          <w:sz w:val="23"/>
          <w:szCs w:val="23"/>
        </w:rPr>
        <w:t>schools</w:t>
      </w:r>
      <w:proofErr w:type="gramEnd"/>
      <w:r w:rsidRPr="00E7705E">
        <w:rPr>
          <w:rFonts w:ascii="Times New Roman" w:hAnsi="Times New Roman" w:cs="Times New Roman"/>
          <w:color w:val="000000"/>
          <w:sz w:val="23"/>
          <w:szCs w:val="23"/>
        </w:rPr>
        <w:t xml:space="preserve"> class. </w:t>
      </w:r>
    </w:p>
    <w:p w14:paraId="2F70E939" w14:textId="5374FA8F" w:rsidR="00BB75F5" w:rsidRPr="00E7705E" w:rsidRDefault="00E6666A" w:rsidP="00E7705E">
      <w:pPr>
        <w:widowControl/>
        <w:autoSpaceDE w:val="0"/>
        <w:autoSpaceDN w:val="0"/>
        <w:adjustRightInd w:val="0"/>
        <w:spacing w:after="267"/>
        <w:rPr>
          <w:rFonts w:ascii="Times New Roman" w:hAnsi="Times New Roman" w:cs="Times New Roman"/>
          <w:color w:val="000000"/>
          <w:sz w:val="23"/>
          <w:szCs w:val="23"/>
        </w:rPr>
      </w:pPr>
      <w:r w:rsidRPr="00E6666A">
        <w:rPr>
          <w:rFonts w:ascii="Times New Roman" w:hAnsi="Times New Roman" w:cs="Times New Roman"/>
          <w:b/>
          <w:color w:val="000000"/>
          <w:sz w:val="23"/>
          <w:szCs w:val="23"/>
        </w:rPr>
        <w:t>SDG&amp;E Response:</w:t>
      </w:r>
      <w:r w:rsidR="00197618">
        <w:rPr>
          <w:rFonts w:ascii="Times New Roman" w:hAnsi="Times New Roman" w:cs="Times New Roman"/>
          <w:b/>
          <w:color w:val="000000"/>
          <w:sz w:val="23"/>
          <w:szCs w:val="23"/>
        </w:rPr>
        <w:t xml:space="preserve"> </w:t>
      </w:r>
      <w:r w:rsidR="00197618">
        <w:rPr>
          <w:rFonts w:ascii="Times New Roman" w:hAnsi="Times New Roman" w:cs="Times New Roman"/>
          <w:color w:val="000000"/>
          <w:sz w:val="23"/>
          <w:szCs w:val="23"/>
        </w:rPr>
        <w:t>Please see the</w:t>
      </w:r>
      <w:r w:rsidR="00824B85">
        <w:rPr>
          <w:rFonts w:ascii="Times New Roman" w:hAnsi="Times New Roman" w:cs="Times New Roman"/>
          <w:color w:val="000000"/>
          <w:sz w:val="23"/>
          <w:szCs w:val="23"/>
        </w:rPr>
        <w:t xml:space="preserve"> attached Excel</w:t>
      </w:r>
      <w:r w:rsidR="00197618">
        <w:rPr>
          <w:rFonts w:ascii="Times New Roman" w:hAnsi="Times New Roman" w:cs="Times New Roman"/>
          <w:color w:val="000000"/>
          <w:sz w:val="23"/>
          <w:szCs w:val="23"/>
        </w:rPr>
        <w:t xml:space="preserve"> workbook</w:t>
      </w:r>
      <w:r w:rsidR="00203105">
        <w:rPr>
          <w:rFonts w:ascii="Times New Roman" w:hAnsi="Times New Roman" w:cs="Times New Roman"/>
          <w:color w:val="000000"/>
          <w:sz w:val="23"/>
          <w:szCs w:val="23"/>
        </w:rPr>
        <w:t>, SDG&amp;E Responses to CalPA DR 15.xlsx, Tab Q1</w:t>
      </w:r>
      <w:r w:rsidR="002C54A3">
        <w:rPr>
          <w:rFonts w:ascii="Times New Roman" w:hAnsi="Times New Roman" w:cs="Times New Roman"/>
          <w:color w:val="000000"/>
          <w:sz w:val="23"/>
          <w:szCs w:val="23"/>
        </w:rPr>
        <w:t>.</w:t>
      </w:r>
    </w:p>
    <w:p w14:paraId="7C8C1A7B" w14:textId="204EE4DE" w:rsidR="00E7705E" w:rsidRDefault="00E7705E" w:rsidP="00E7705E">
      <w:pPr>
        <w:widowControl/>
        <w:autoSpaceDE w:val="0"/>
        <w:autoSpaceDN w:val="0"/>
        <w:adjustRightInd w:val="0"/>
        <w:rPr>
          <w:rFonts w:ascii="Times New Roman" w:hAnsi="Times New Roman" w:cs="Times New Roman"/>
          <w:color w:val="000000"/>
          <w:sz w:val="23"/>
          <w:szCs w:val="23"/>
        </w:rPr>
      </w:pPr>
      <w:r w:rsidRPr="00E7705E">
        <w:rPr>
          <w:rFonts w:ascii="Times New Roman" w:hAnsi="Times New Roman" w:cs="Times New Roman"/>
          <w:color w:val="000000"/>
          <w:sz w:val="23"/>
          <w:szCs w:val="23"/>
        </w:rPr>
        <w:t>2. In SDG&amp;E’s response to DR 3 question 3, what does the column “</w:t>
      </w:r>
      <w:proofErr w:type="spellStart"/>
      <w:r w:rsidRPr="00E7705E">
        <w:rPr>
          <w:rFonts w:ascii="Times New Roman" w:hAnsi="Times New Roman" w:cs="Times New Roman"/>
          <w:color w:val="000000"/>
          <w:sz w:val="23"/>
          <w:szCs w:val="23"/>
        </w:rPr>
        <w:t>fl_da</w:t>
      </w:r>
      <w:proofErr w:type="spellEnd"/>
      <w:r w:rsidRPr="00E7705E">
        <w:rPr>
          <w:rFonts w:ascii="Times New Roman" w:hAnsi="Times New Roman" w:cs="Times New Roman"/>
          <w:color w:val="000000"/>
          <w:sz w:val="23"/>
          <w:szCs w:val="23"/>
        </w:rPr>
        <w:t>” refer to? Are these hourly delivered loads (</w:t>
      </w:r>
      <w:r w:rsidRPr="00E7705E">
        <w:rPr>
          <w:rFonts w:ascii="Times New Roman" w:hAnsi="Times New Roman" w:cs="Times New Roman"/>
          <w:i/>
          <w:iCs/>
          <w:color w:val="000000"/>
          <w:sz w:val="23"/>
          <w:szCs w:val="23"/>
        </w:rPr>
        <w:t xml:space="preserve">not </w:t>
      </w:r>
      <w:r w:rsidRPr="00E7705E">
        <w:rPr>
          <w:rFonts w:ascii="Times New Roman" w:hAnsi="Times New Roman" w:cs="Times New Roman"/>
          <w:color w:val="000000"/>
          <w:sz w:val="23"/>
          <w:szCs w:val="23"/>
        </w:rPr>
        <w:t xml:space="preserve">netting any DG exports) or net loads? </w:t>
      </w:r>
    </w:p>
    <w:p w14:paraId="0DAED9C4" w14:textId="07E4E1C3" w:rsidR="00E6666A" w:rsidRDefault="00E6666A" w:rsidP="00E7705E">
      <w:pPr>
        <w:widowControl/>
        <w:autoSpaceDE w:val="0"/>
        <w:autoSpaceDN w:val="0"/>
        <w:adjustRightInd w:val="0"/>
        <w:rPr>
          <w:rFonts w:ascii="Times New Roman" w:hAnsi="Times New Roman" w:cs="Times New Roman"/>
          <w:color w:val="000000"/>
          <w:sz w:val="23"/>
          <w:szCs w:val="23"/>
        </w:rPr>
      </w:pPr>
    </w:p>
    <w:p w14:paraId="72B5BA19" w14:textId="181A9D59" w:rsidR="00E6666A" w:rsidRPr="002C54A3" w:rsidRDefault="00E6666A" w:rsidP="002C54A3">
      <w:pPr>
        <w:widowControl/>
        <w:autoSpaceDE w:val="0"/>
        <w:autoSpaceDN w:val="0"/>
        <w:adjustRightInd w:val="0"/>
        <w:spacing w:after="267"/>
        <w:rPr>
          <w:rFonts w:ascii="Times New Roman" w:hAnsi="Times New Roman" w:cs="Times New Roman"/>
          <w:b/>
          <w:color w:val="000000"/>
          <w:sz w:val="23"/>
          <w:szCs w:val="23"/>
        </w:rPr>
      </w:pPr>
      <w:r w:rsidRPr="00E6666A">
        <w:rPr>
          <w:rFonts w:ascii="Times New Roman" w:hAnsi="Times New Roman" w:cs="Times New Roman"/>
          <w:b/>
          <w:color w:val="000000"/>
          <w:sz w:val="23"/>
          <w:szCs w:val="23"/>
        </w:rPr>
        <w:t>SDG&amp;E Response:</w:t>
      </w:r>
      <w:r w:rsidR="002C54A3">
        <w:rPr>
          <w:rFonts w:ascii="Times New Roman" w:hAnsi="Times New Roman" w:cs="Times New Roman"/>
          <w:b/>
          <w:color w:val="000000"/>
          <w:sz w:val="23"/>
          <w:szCs w:val="23"/>
        </w:rPr>
        <w:t xml:space="preserve"> </w:t>
      </w:r>
      <w:r w:rsidR="004D1F01" w:rsidRPr="002C54A3">
        <w:rPr>
          <w:rFonts w:ascii="Times New Roman" w:hAnsi="Times New Roman" w:cs="Times New Roman"/>
          <w:sz w:val="23"/>
          <w:szCs w:val="23"/>
        </w:rPr>
        <w:t xml:space="preserve">FL_DA refers to a flag for Direct Access. </w:t>
      </w:r>
      <w:r w:rsidR="00990624" w:rsidRPr="002C54A3">
        <w:rPr>
          <w:rFonts w:ascii="Times New Roman" w:hAnsi="Times New Roman" w:cs="Times New Roman"/>
          <w:sz w:val="23"/>
          <w:szCs w:val="23"/>
        </w:rPr>
        <w:t xml:space="preserve"> 8760 Hourly Load Profiles are netted of </w:t>
      </w:r>
      <w:r w:rsidR="002816EA" w:rsidRPr="002C54A3">
        <w:rPr>
          <w:rFonts w:ascii="Times New Roman" w:hAnsi="Times New Roman" w:cs="Times New Roman"/>
          <w:sz w:val="23"/>
          <w:szCs w:val="23"/>
        </w:rPr>
        <w:t>DG exports.</w:t>
      </w:r>
    </w:p>
    <w:p w14:paraId="25E0CBC2" w14:textId="77777777" w:rsidR="00E7705E" w:rsidRPr="00E7705E" w:rsidRDefault="00E7705E" w:rsidP="00E7705E">
      <w:pPr>
        <w:widowControl/>
        <w:autoSpaceDE w:val="0"/>
        <w:autoSpaceDN w:val="0"/>
        <w:adjustRightInd w:val="0"/>
        <w:rPr>
          <w:rFonts w:ascii="Times New Roman" w:hAnsi="Times New Roman" w:cs="Times New Roman"/>
          <w:color w:val="000000"/>
          <w:sz w:val="23"/>
          <w:szCs w:val="23"/>
        </w:rPr>
      </w:pPr>
    </w:p>
    <w:p w14:paraId="3BF59AAF" w14:textId="6A82F221" w:rsidR="00E7705E" w:rsidRDefault="00E7705E" w:rsidP="00E7705E">
      <w:pPr>
        <w:widowControl/>
        <w:autoSpaceDE w:val="0"/>
        <w:autoSpaceDN w:val="0"/>
        <w:adjustRightInd w:val="0"/>
        <w:rPr>
          <w:rFonts w:ascii="Times New Roman" w:hAnsi="Times New Roman" w:cs="Times New Roman"/>
          <w:color w:val="000000"/>
          <w:sz w:val="23"/>
          <w:szCs w:val="23"/>
        </w:rPr>
      </w:pPr>
      <w:r w:rsidRPr="00E7705E">
        <w:rPr>
          <w:rFonts w:ascii="Times New Roman" w:hAnsi="Times New Roman" w:cs="Times New Roman"/>
          <w:color w:val="000000"/>
          <w:sz w:val="23"/>
          <w:szCs w:val="23"/>
        </w:rPr>
        <w:t xml:space="preserve">3. In SDG&amp;E’s response to DR 3 question 4 (asking for total NEM capacity and customer counts), please provide the data at the rate class level (same as SDG&amp;E’s response to question 5), including for the new </w:t>
      </w:r>
      <w:proofErr w:type="gramStart"/>
      <w:r w:rsidRPr="00E7705E">
        <w:rPr>
          <w:rFonts w:ascii="Times New Roman" w:hAnsi="Times New Roman" w:cs="Times New Roman"/>
          <w:color w:val="000000"/>
          <w:sz w:val="23"/>
          <w:szCs w:val="23"/>
        </w:rPr>
        <w:t>schools</w:t>
      </w:r>
      <w:proofErr w:type="gramEnd"/>
      <w:r w:rsidRPr="00E7705E">
        <w:rPr>
          <w:rFonts w:ascii="Times New Roman" w:hAnsi="Times New Roman" w:cs="Times New Roman"/>
          <w:color w:val="000000"/>
          <w:sz w:val="23"/>
          <w:szCs w:val="23"/>
        </w:rPr>
        <w:t xml:space="preserve"> class. </w:t>
      </w:r>
    </w:p>
    <w:p w14:paraId="3C8FBF58" w14:textId="71AC6743" w:rsidR="00E6666A" w:rsidRDefault="00E6666A" w:rsidP="00E7705E">
      <w:pPr>
        <w:widowControl/>
        <w:autoSpaceDE w:val="0"/>
        <w:autoSpaceDN w:val="0"/>
        <w:adjustRightInd w:val="0"/>
        <w:rPr>
          <w:rFonts w:ascii="Times New Roman" w:hAnsi="Times New Roman" w:cs="Times New Roman"/>
          <w:color w:val="000000"/>
          <w:sz w:val="23"/>
          <w:szCs w:val="23"/>
        </w:rPr>
      </w:pPr>
    </w:p>
    <w:p w14:paraId="3BA1327E" w14:textId="5760D116" w:rsidR="00E6666A" w:rsidRPr="002C54A3" w:rsidRDefault="00E6666A" w:rsidP="00E6666A">
      <w:pPr>
        <w:widowControl/>
        <w:autoSpaceDE w:val="0"/>
        <w:autoSpaceDN w:val="0"/>
        <w:adjustRightInd w:val="0"/>
        <w:spacing w:after="267"/>
        <w:rPr>
          <w:rFonts w:ascii="Times New Roman" w:hAnsi="Times New Roman" w:cs="Times New Roman"/>
          <w:color w:val="000000"/>
          <w:sz w:val="23"/>
          <w:szCs w:val="23"/>
        </w:rPr>
      </w:pPr>
      <w:r w:rsidRPr="00E6666A">
        <w:rPr>
          <w:rFonts w:ascii="Times New Roman" w:hAnsi="Times New Roman" w:cs="Times New Roman"/>
          <w:b/>
          <w:color w:val="000000"/>
          <w:sz w:val="23"/>
          <w:szCs w:val="23"/>
        </w:rPr>
        <w:t>SDG&amp;E Response:</w:t>
      </w:r>
      <w:r w:rsidR="002C54A3">
        <w:rPr>
          <w:rFonts w:ascii="Times New Roman" w:hAnsi="Times New Roman" w:cs="Times New Roman"/>
          <w:b/>
          <w:color w:val="000000"/>
          <w:sz w:val="23"/>
          <w:szCs w:val="23"/>
        </w:rPr>
        <w:t xml:space="preserve"> </w:t>
      </w:r>
      <w:r w:rsidR="002C54A3">
        <w:rPr>
          <w:rFonts w:ascii="Times New Roman" w:hAnsi="Times New Roman" w:cs="Times New Roman"/>
          <w:color w:val="000000"/>
          <w:sz w:val="23"/>
          <w:szCs w:val="23"/>
        </w:rPr>
        <w:t xml:space="preserve">Please see the </w:t>
      </w:r>
      <w:r w:rsidR="00824B85">
        <w:rPr>
          <w:rFonts w:ascii="Times New Roman" w:hAnsi="Times New Roman" w:cs="Times New Roman"/>
          <w:color w:val="000000"/>
          <w:sz w:val="23"/>
          <w:szCs w:val="23"/>
        </w:rPr>
        <w:t>attached</w:t>
      </w:r>
      <w:r w:rsidR="002C54A3">
        <w:rPr>
          <w:rFonts w:ascii="Times New Roman" w:hAnsi="Times New Roman" w:cs="Times New Roman"/>
          <w:color w:val="000000"/>
          <w:sz w:val="23"/>
          <w:szCs w:val="23"/>
        </w:rPr>
        <w:t xml:space="preserve"> </w:t>
      </w:r>
      <w:r w:rsidR="00203105">
        <w:rPr>
          <w:rFonts w:ascii="Times New Roman" w:hAnsi="Times New Roman" w:cs="Times New Roman"/>
          <w:color w:val="000000"/>
          <w:sz w:val="23"/>
          <w:szCs w:val="23"/>
        </w:rPr>
        <w:t xml:space="preserve">Excel </w:t>
      </w:r>
      <w:r w:rsidR="002C54A3">
        <w:rPr>
          <w:rFonts w:ascii="Times New Roman" w:hAnsi="Times New Roman" w:cs="Times New Roman"/>
          <w:color w:val="000000"/>
          <w:sz w:val="23"/>
          <w:szCs w:val="23"/>
        </w:rPr>
        <w:t>workbook</w:t>
      </w:r>
      <w:r w:rsidR="00203105">
        <w:rPr>
          <w:rFonts w:ascii="Times New Roman" w:hAnsi="Times New Roman" w:cs="Times New Roman"/>
          <w:color w:val="000000"/>
          <w:sz w:val="23"/>
          <w:szCs w:val="23"/>
        </w:rPr>
        <w:t xml:space="preserve">, </w:t>
      </w:r>
      <w:r w:rsidR="00203105" w:rsidRPr="00203105">
        <w:rPr>
          <w:rFonts w:ascii="Times New Roman" w:hAnsi="Times New Roman" w:cs="Times New Roman"/>
          <w:color w:val="000000"/>
          <w:sz w:val="23"/>
          <w:szCs w:val="23"/>
        </w:rPr>
        <w:t>SDG&amp;E Responses to CalPA DR 15.xlsx, Tab Q</w:t>
      </w:r>
      <w:r w:rsidR="00203105">
        <w:rPr>
          <w:rFonts w:ascii="Times New Roman" w:hAnsi="Times New Roman" w:cs="Times New Roman"/>
          <w:color w:val="000000"/>
          <w:sz w:val="23"/>
          <w:szCs w:val="23"/>
        </w:rPr>
        <w:t>3</w:t>
      </w:r>
      <w:r w:rsidR="00203105" w:rsidRPr="00203105">
        <w:rPr>
          <w:rFonts w:ascii="Times New Roman" w:hAnsi="Times New Roman" w:cs="Times New Roman"/>
          <w:color w:val="000000"/>
          <w:sz w:val="23"/>
          <w:szCs w:val="23"/>
        </w:rPr>
        <w:t>.</w:t>
      </w:r>
    </w:p>
    <w:p w14:paraId="583BF0CF" w14:textId="77777777" w:rsidR="00E7705E" w:rsidRPr="00E7705E" w:rsidRDefault="00E7705E" w:rsidP="00E7705E">
      <w:pPr>
        <w:widowControl/>
        <w:autoSpaceDE w:val="0"/>
        <w:autoSpaceDN w:val="0"/>
        <w:adjustRightInd w:val="0"/>
        <w:rPr>
          <w:rFonts w:ascii="Times New Roman" w:hAnsi="Times New Roman" w:cs="Times New Roman"/>
          <w:color w:val="000000"/>
          <w:sz w:val="23"/>
          <w:szCs w:val="23"/>
        </w:rPr>
      </w:pPr>
    </w:p>
    <w:p w14:paraId="0E9208BF" w14:textId="321AE4B7" w:rsidR="00E7705E" w:rsidRDefault="00E7705E" w:rsidP="00E7705E">
      <w:pPr>
        <w:widowControl/>
        <w:autoSpaceDE w:val="0"/>
        <w:autoSpaceDN w:val="0"/>
        <w:adjustRightInd w:val="0"/>
        <w:rPr>
          <w:rFonts w:ascii="Times New Roman" w:hAnsi="Times New Roman" w:cs="Times New Roman"/>
          <w:color w:val="000000"/>
          <w:sz w:val="23"/>
          <w:szCs w:val="23"/>
        </w:rPr>
      </w:pPr>
      <w:r w:rsidRPr="00E7705E">
        <w:rPr>
          <w:rFonts w:ascii="Times New Roman" w:hAnsi="Times New Roman" w:cs="Times New Roman"/>
          <w:color w:val="000000"/>
          <w:sz w:val="23"/>
          <w:szCs w:val="23"/>
        </w:rPr>
        <w:t xml:space="preserve">4. As part of SDG&amp;E’s response to question 5, please provide a full 8760 hour generation profile for the </w:t>
      </w:r>
      <w:proofErr w:type="gramStart"/>
      <w:r w:rsidRPr="00E7705E">
        <w:rPr>
          <w:rFonts w:ascii="Times New Roman" w:hAnsi="Times New Roman" w:cs="Times New Roman"/>
          <w:color w:val="000000"/>
          <w:sz w:val="23"/>
          <w:szCs w:val="23"/>
        </w:rPr>
        <w:t>schools</w:t>
      </w:r>
      <w:proofErr w:type="gramEnd"/>
      <w:r w:rsidRPr="00E7705E">
        <w:rPr>
          <w:rFonts w:ascii="Times New Roman" w:hAnsi="Times New Roman" w:cs="Times New Roman"/>
          <w:color w:val="000000"/>
          <w:sz w:val="23"/>
          <w:szCs w:val="23"/>
        </w:rPr>
        <w:t xml:space="preserve"> class. </w:t>
      </w:r>
    </w:p>
    <w:p w14:paraId="4CC50B42" w14:textId="3E4DC775" w:rsidR="00E6666A" w:rsidRDefault="00E6666A" w:rsidP="00E7705E">
      <w:pPr>
        <w:widowControl/>
        <w:autoSpaceDE w:val="0"/>
        <w:autoSpaceDN w:val="0"/>
        <w:adjustRightInd w:val="0"/>
        <w:rPr>
          <w:rFonts w:ascii="Times New Roman" w:hAnsi="Times New Roman" w:cs="Times New Roman"/>
          <w:color w:val="000000"/>
          <w:sz w:val="23"/>
          <w:szCs w:val="23"/>
        </w:rPr>
      </w:pPr>
    </w:p>
    <w:p w14:paraId="4541D672" w14:textId="38422663" w:rsidR="00E6666A" w:rsidRPr="00E6666A" w:rsidRDefault="00E6666A" w:rsidP="00E6666A">
      <w:pPr>
        <w:widowControl/>
        <w:autoSpaceDE w:val="0"/>
        <w:autoSpaceDN w:val="0"/>
        <w:adjustRightInd w:val="0"/>
        <w:spacing w:after="267"/>
        <w:rPr>
          <w:rFonts w:ascii="Times New Roman" w:hAnsi="Times New Roman" w:cs="Times New Roman"/>
          <w:b/>
          <w:color w:val="000000"/>
          <w:sz w:val="23"/>
          <w:szCs w:val="23"/>
        </w:rPr>
      </w:pPr>
      <w:r w:rsidRPr="00E6666A">
        <w:rPr>
          <w:rFonts w:ascii="Times New Roman" w:hAnsi="Times New Roman" w:cs="Times New Roman"/>
          <w:b/>
          <w:color w:val="000000"/>
          <w:sz w:val="23"/>
          <w:szCs w:val="23"/>
        </w:rPr>
        <w:t>SDG&amp;E Response:</w:t>
      </w:r>
      <w:r w:rsidR="006749F6">
        <w:rPr>
          <w:rFonts w:ascii="Times New Roman" w:hAnsi="Times New Roman" w:cs="Times New Roman"/>
          <w:b/>
          <w:color w:val="000000"/>
          <w:sz w:val="23"/>
          <w:szCs w:val="23"/>
        </w:rPr>
        <w:t xml:space="preserve"> </w:t>
      </w:r>
      <w:r w:rsidR="006749F6">
        <w:rPr>
          <w:rFonts w:ascii="Times New Roman" w:hAnsi="Times New Roman" w:cs="Times New Roman"/>
          <w:color w:val="000000"/>
          <w:sz w:val="23"/>
          <w:szCs w:val="23"/>
        </w:rPr>
        <w:t xml:space="preserve">Please see the </w:t>
      </w:r>
      <w:r w:rsidR="00824B85">
        <w:rPr>
          <w:rFonts w:ascii="Times New Roman" w:hAnsi="Times New Roman" w:cs="Times New Roman"/>
          <w:color w:val="000000"/>
          <w:sz w:val="23"/>
          <w:szCs w:val="23"/>
        </w:rPr>
        <w:t>attached</w:t>
      </w:r>
      <w:r w:rsidR="006749F6">
        <w:rPr>
          <w:rFonts w:ascii="Times New Roman" w:hAnsi="Times New Roman" w:cs="Times New Roman"/>
          <w:color w:val="000000"/>
          <w:sz w:val="23"/>
          <w:szCs w:val="23"/>
        </w:rPr>
        <w:t xml:space="preserve"> </w:t>
      </w:r>
      <w:r w:rsidR="00203105">
        <w:rPr>
          <w:rFonts w:ascii="Times New Roman" w:hAnsi="Times New Roman" w:cs="Times New Roman"/>
          <w:color w:val="000000"/>
          <w:sz w:val="23"/>
          <w:szCs w:val="23"/>
        </w:rPr>
        <w:t xml:space="preserve">Excel </w:t>
      </w:r>
      <w:r w:rsidR="006749F6">
        <w:rPr>
          <w:rFonts w:ascii="Times New Roman" w:hAnsi="Times New Roman" w:cs="Times New Roman"/>
          <w:color w:val="000000"/>
          <w:sz w:val="23"/>
          <w:szCs w:val="23"/>
        </w:rPr>
        <w:t>workbook</w:t>
      </w:r>
      <w:r w:rsidR="00203105">
        <w:rPr>
          <w:rFonts w:ascii="Times New Roman" w:hAnsi="Times New Roman" w:cs="Times New Roman"/>
          <w:color w:val="000000"/>
          <w:sz w:val="23"/>
          <w:szCs w:val="23"/>
        </w:rPr>
        <w:t xml:space="preserve">, </w:t>
      </w:r>
      <w:r w:rsidR="00203105" w:rsidRPr="00203105">
        <w:rPr>
          <w:rFonts w:ascii="Times New Roman" w:hAnsi="Times New Roman" w:cs="Times New Roman"/>
          <w:color w:val="000000"/>
          <w:sz w:val="23"/>
          <w:szCs w:val="23"/>
        </w:rPr>
        <w:t>SDG&amp;E Responses to CalPA DR 15.xlsx, Tab Q</w:t>
      </w:r>
      <w:r w:rsidR="00203105">
        <w:rPr>
          <w:rFonts w:ascii="Times New Roman" w:hAnsi="Times New Roman" w:cs="Times New Roman"/>
          <w:color w:val="000000"/>
          <w:sz w:val="23"/>
          <w:szCs w:val="23"/>
        </w:rPr>
        <w:t>4.</w:t>
      </w:r>
    </w:p>
    <w:p w14:paraId="13664F2C" w14:textId="77777777" w:rsidR="00E7705E" w:rsidRPr="00E7705E" w:rsidRDefault="00E7705E" w:rsidP="00E7705E">
      <w:pPr>
        <w:widowControl/>
        <w:autoSpaceDE w:val="0"/>
        <w:autoSpaceDN w:val="0"/>
        <w:adjustRightInd w:val="0"/>
        <w:rPr>
          <w:rFonts w:ascii="Times New Roman" w:hAnsi="Times New Roman" w:cs="Times New Roman"/>
          <w:color w:val="000000"/>
          <w:sz w:val="23"/>
          <w:szCs w:val="23"/>
        </w:rPr>
      </w:pPr>
    </w:p>
    <w:p w14:paraId="56F7FEE9" w14:textId="77777777" w:rsidR="00E7705E" w:rsidRPr="00E7705E" w:rsidRDefault="00E7705E" w:rsidP="00E7705E">
      <w:pPr>
        <w:widowControl/>
        <w:autoSpaceDE w:val="0"/>
        <w:autoSpaceDN w:val="0"/>
        <w:adjustRightInd w:val="0"/>
        <w:rPr>
          <w:rFonts w:ascii="Times New Roman" w:hAnsi="Times New Roman" w:cs="Times New Roman"/>
          <w:color w:val="000000"/>
          <w:sz w:val="23"/>
          <w:szCs w:val="23"/>
        </w:rPr>
      </w:pPr>
      <w:r w:rsidRPr="00E7705E">
        <w:rPr>
          <w:rFonts w:ascii="Times New Roman" w:hAnsi="Times New Roman" w:cs="Times New Roman"/>
          <w:color w:val="000000"/>
          <w:sz w:val="23"/>
          <w:szCs w:val="23"/>
        </w:rPr>
        <w:t xml:space="preserve">5. In SDG&amp;E’s response to question 5, the sum of distributed solar output for the agricultural class over the year (column C) is 18,852,338 kWh. However, using the total NEM capacity for agriculture from question 4 (1,406 kW) results in an estimated capacity factor of 150%. Please explain this result and provide the corrected annual generation (kWh) or installed NEM capacity (kW). See attachment “CalPA – GRCP2 Request #3 Q5_CalAdvocates.xlx” for reference. </w:t>
      </w:r>
    </w:p>
    <w:bookmarkStart w:id="0" w:name="_MON_1632141925"/>
    <w:bookmarkEnd w:id="0"/>
    <w:p w14:paraId="7318F0DD" w14:textId="437E0D92" w:rsidR="00E7705E" w:rsidRDefault="009E0129" w:rsidP="00E7705E">
      <w:pPr>
        <w:widowControl/>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object w:dxaOrig="1543" w:dyaOrig="1000" w14:anchorId="6D7FFB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50.1pt" o:ole="">
            <v:imagedata r:id="rId11" o:title=""/>
          </v:shape>
          <o:OLEObject Type="Embed" ProgID="Excel.Sheet.12" ShapeID="_x0000_i1025" DrawAspect="Icon" ObjectID="_1632211024" r:id="rId12"/>
        </w:object>
      </w:r>
    </w:p>
    <w:p w14:paraId="0C9B02BA" w14:textId="31C45B35" w:rsidR="00E6666A" w:rsidRDefault="00E6666A" w:rsidP="00E7705E">
      <w:pPr>
        <w:widowControl/>
        <w:autoSpaceDE w:val="0"/>
        <w:autoSpaceDN w:val="0"/>
        <w:adjustRightInd w:val="0"/>
        <w:rPr>
          <w:rFonts w:ascii="Times New Roman" w:hAnsi="Times New Roman" w:cs="Times New Roman"/>
          <w:sz w:val="24"/>
          <w:szCs w:val="24"/>
        </w:rPr>
      </w:pPr>
    </w:p>
    <w:p w14:paraId="2EB0075F" w14:textId="0C076327" w:rsidR="00410E93" w:rsidRDefault="00E6666A" w:rsidP="008B1E3A">
      <w:r w:rsidRPr="00E6666A">
        <w:rPr>
          <w:rFonts w:ascii="Times New Roman" w:hAnsi="Times New Roman" w:cs="Times New Roman"/>
          <w:b/>
          <w:color w:val="000000"/>
          <w:sz w:val="23"/>
          <w:szCs w:val="23"/>
        </w:rPr>
        <w:t>SDG&amp;E Response:</w:t>
      </w:r>
      <w:r w:rsidR="004D1F01">
        <w:rPr>
          <w:rFonts w:ascii="Times New Roman" w:hAnsi="Times New Roman" w:cs="Times New Roman"/>
          <w:b/>
          <w:color w:val="000000"/>
          <w:sz w:val="23"/>
          <w:szCs w:val="23"/>
        </w:rPr>
        <w:t xml:space="preserve"> </w:t>
      </w:r>
      <w:r w:rsidR="001F7360">
        <w:rPr>
          <w:rFonts w:ascii="Times New Roman" w:hAnsi="Times New Roman" w:cs="Times New Roman"/>
          <w:color w:val="000000"/>
          <w:sz w:val="23"/>
          <w:szCs w:val="23"/>
        </w:rPr>
        <w:t xml:space="preserve">Please see the attached Excel workbook, </w:t>
      </w:r>
      <w:r w:rsidR="001F7360" w:rsidRPr="00203105">
        <w:rPr>
          <w:rFonts w:ascii="Times New Roman" w:hAnsi="Times New Roman" w:cs="Times New Roman"/>
          <w:color w:val="000000"/>
          <w:sz w:val="23"/>
          <w:szCs w:val="23"/>
        </w:rPr>
        <w:t>SDG&amp;E Responses to CalPA DR 15.xlsx, Tab Q</w:t>
      </w:r>
      <w:r w:rsidR="001F7360">
        <w:rPr>
          <w:rFonts w:ascii="Times New Roman" w:hAnsi="Times New Roman" w:cs="Times New Roman"/>
          <w:color w:val="000000"/>
          <w:sz w:val="23"/>
          <w:szCs w:val="23"/>
        </w:rPr>
        <w:t>5</w:t>
      </w:r>
      <w:r w:rsidR="001F7360">
        <w:rPr>
          <w:rFonts w:ascii="Times New Roman" w:hAnsi="Times New Roman" w:cs="Times New Roman"/>
          <w:color w:val="000000"/>
          <w:sz w:val="23"/>
          <w:szCs w:val="23"/>
        </w:rPr>
        <w:t>.</w:t>
      </w:r>
      <w:r w:rsidR="001F7360">
        <w:rPr>
          <w:rFonts w:ascii="Times New Roman" w:hAnsi="Times New Roman" w:cs="Times New Roman"/>
          <w:color w:val="000000"/>
          <w:sz w:val="23"/>
          <w:szCs w:val="23"/>
        </w:rPr>
        <w:t xml:space="preserve"> Additionally, </w:t>
      </w:r>
      <w:r w:rsidR="001F7360">
        <w:rPr>
          <w:rFonts w:ascii="Times New Roman" w:hAnsi="Times New Roman" w:cs="Times New Roman"/>
          <w:sz w:val="23"/>
          <w:szCs w:val="23"/>
        </w:rPr>
        <w:t>t</w:t>
      </w:r>
      <w:r w:rsidR="002121F9">
        <w:rPr>
          <w:rFonts w:ascii="Times New Roman" w:hAnsi="Times New Roman" w:cs="Times New Roman"/>
          <w:sz w:val="23"/>
          <w:szCs w:val="23"/>
        </w:rPr>
        <w:t xml:space="preserve">he 1,406 Agricultural kW figure was pulled from a different data warehouse which defined </w:t>
      </w:r>
      <w:r w:rsidR="008B1E3A">
        <w:rPr>
          <w:rFonts w:ascii="Times New Roman" w:hAnsi="Times New Roman" w:cs="Times New Roman"/>
          <w:sz w:val="23"/>
          <w:szCs w:val="23"/>
        </w:rPr>
        <w:t>agricultural customers</w:t>
      </w:r>
      <w:r w:rsidR="002121F9">
        <w:rPr>
          <w:rFonts w:ascii="Times New Roman" w:hAnsi="Times New Roman" w:cs="Times New Roman"/>
          <w:sz w:val="23"/>
          <w:szCs w:val="23"/>
        </w:rPr>
        <w:t xml:space="preserve"> differently. The installed capacity </w:t>
      </w:r>
      <w:r w:rsidR="00690E56">
        <w:rPr>
          <w:rFonts w:ascii="Times New Roman" w:hAnsi="Times New Roman" w:cs="Times New Roman"/>
          <w:sz w:val="23"/>
          <w:szCs w:val="23"/>
        </w:rPr>
        <w:t xml:space="preserve">of </w:t>
      </w:r>
      <w:r w:rsidR="002121F9">
        <w:rPr>
          <w:rFonts w:ascii="Times New Roman" w:hAnsi="Times New Roman" w:cs="Times New Roman"/>
          <w:sz w:val="23"/>
          <w:szCs w:val="23"/>
        </w:rPr>
        <w:t xml:space="preserve">(12,136 kW) </w:t>
      </w:r>
      <w:r w:rsidR="00CB0637">
        <w:rPr>
          <w:rFonts w:ascii="Times New Roman" w:hAnsi="Times New Roman" w:cs="Times New Roman"/>
          <w:sz w:val="23"/>
          <w:szCs w:val="23"/>
        </w:rPr>
        <w:t>which corresponds</w:t>
      </w:r>
      <w:r w:rsidR="002121F9">
        <w:rPr>
          <w:rFonts w:ascii="Times New Roman" w:hAnsi="Times New Roman" w:cs="Times New Roman"/>
          <w:sz w:val="23"/>
          <w:szCs w:val="23"/>
        </w:rPr>
        <w:t xml:space="preserve"> to the </w:t>
      </w:r>
      <w:r w:rsidR="002121F9">
        <w:rPr>
          <w:rFonts w:ascii="Times New Roman" w:hAnsi="Times New Roman" w:cs="Times New Roman"/>
          <w:sz w:val="23"/>
          <w:szCs w:val="23"/>
        </w:rPr>
        <w:lastRenderedPageBreak/>
        <w:t xml:space="preserve">generation </w:t>
      </w:r>
      <w:r w:rsidR="00CB0637">
        <w:rPr>
          <w:rFonts w:ascii="Times New Roman" w:hAnsi="Times New Roman" w:cs="Times New Roman"/>
          <w:sz w:val="23"/>
          <w:szCs w:val="23"/>
        </w:rPr>
        <w:t>(</w:t>
      </w:r>
      <w:r w:rsidR="00CB0637" w:rsidRPr="00E7705E">
        <w:rPr>
          <w:rFonts w:ascii="Times New Roman" w:hAnsi="Times New Roman" w:cs="Times New Roman"/>
          <w:color w:val="000000"/>
          <w:sz w:val="23"/>
          <w:szCs w:val="23"/>
        </w:rPr>
        <w:t>18,852,338 kWh</w:t>
      </w:r>
      <w:r w:rsidR="00CB0637">
        <w:rPr>
          <w:rFonts w:ascii="Times New Roman" w:hAnsi="Times New Roman" w:cs="Times New Roman"/>
          <w:color w:val="000000"/>
          <w:sz w:val="23"/>
          <w:szCs w:val="23"/>
        </w:rPr>
        <w:t>)</w:t>
      </w:r>
      <w:r w:rsidR="001F7360">
        <w:rPr>
          <w:rFonts w:ascii="Times New Roman" w:hAnsi="Times New Roman" w:cs="Times New Roman"/>
          <w:color w:val="000000"/>
          <w:sz w:val="23"/>
          <w:szCs w:val="23"/>
        </w:rPr>
        <w:t xml:space="preserve"> on </w:t>
      </w:r>
      <w:r w:rsidR="0095098F">
        <w:rPr>
          <w:rFonts w:ascii="Times New Roman" w:hAnsi="Times New Roman" w:cs="Times New Roman"/>
          <w:color w:val="000000"/>
          <w:sz w:val="23"/>
          <w:szCs w:val="23"/>
        </w:rPr>
        <w:t>T</w:t>
      </w:r>
      <w:r w:rsidR="001F7360">
        <w:rPr>
          <w:rFonts w:ascii="Times New Roman" w:hAnsi="Times New Roman" w:cs="Times New Roman"/>
          <w:color w:val="000000"/>
          <w:sz w:val="23"/>
          <w:szCs w:val="23"/>
        </w:rPr>
        <w:t>ab Q5</w:t>
      </w:r>
      <w:r w:rsidR="00CB0637">
        <w:rPr>
          <w:rFonts w:ascii="Times New Roman" w:hAnsi="Times New Roman" w:cs="Times New Roman"/>
          <w:sz w:val="23"/>
          <w:szCs w:val="23"/>
        </w:rPr>
        <w:t xml:space="preserve"> </w:t>
      </w:r>
      <w:r w:rsidR="002121F9">
        <w:rPr>
          <w:rFonts w:ascii="Times New Roman" w:hAnsi="Times New Roman" w:cs="Times New Roman"/>
          <w:sz w:val="23"/>
          <w:szCs w:val="23"/>
        </w:rPr>
        <w:t>is included in the attached Excel file response in the tab titled Q3</w:t>
      </w:r>
      <w:r w:rsidR="0095098F">
        <w:rPr>
          <w:rFonts w:ascii="Times New Roman" w:hAnsi="Times New Roman" w:cs="Times New Roman"/>
          <w:sz w:val="23"/>
          <w:szCs w:val="23"/>
        </w:rPr>
        <w:t xml:space="preserve"> </w:t>
      </w:r>
      <w:r w:rsidR="002121F9">
        <w:rPr>
          <w:rFonts w:ascii="Times New Roman" w:hAnsi="Times New Roman" w:cs="Times New Roman"/>
          <w:sz w:val="23"/>
          <w:szCs w:val="23"/>
        </w:rPr>
        <w:t>in cell D2. The reason for the origi</w:t>
      </w:r>
      <w:bookmarkStart w:id="1" w:name="_GoBack"/>
      <w:bookmarkEnd w:id="1"/>
      <w:r w:rsidR="002121F9">
        <w:rPr>
          <w:rFonts w:ascii="Times New Roman" w:hAnsi="Times New Roman" w:cs="Times New Roman"/>
          <w:sz w:val="23"/>
          <w:szCs w:val="23"/>
        </w:rPr>
        <w:t xml:space="preserve">nal difference was due to how the </w:t>
      </w:r>
      <w:r w:rsidR="008B1E3A">
        <w:rPr>
          <w:rFonts w:ascii="Times New Roman" w:hAnsi="Times New Roman" w:cs="Times New Roman"/>
          <w:sz w:val="23"/>
          <w:szCs w:val="23"/>
        </w:rPr>
        <w:t>a</w:t>
      </w:r>
      <w:r w:rsidR="002121F9">
        <w:rPr>
          <w:rFonts w:ascii="Times New Roman" w:hAnsi="Times New Roman" w:cs="Times New Roman"/>
          <w:sz w:val="23"/>
          <w:szCs w:val="23"/>
        </w:rPr>
        <w:t xml:space="preserve">gricultural customers were defined </w:t>
      </w:r>
      <w:r w:rsidR="008B1E3A">
        <w:rPr>
          <w:rFonts w:ascii="Times New Roman" w:hAnsi="Times New Roman" w:cs="Times New Roman"/>
          <w:sz w:val="23"/>
          <w:szCs w:val="23"/>
        </w:rPr>
        <w:t>in</w:t>
      </w:r>
      <w:r w:rsidR="002121F9">
        <w:rPr>
          <w:rFonts w:ascii="Times New Roman" w:hAnsi="Times New Roman" w:cs="Times New Roman"/>
          <w:sz w:val="23"/>
          <w:szCs w:val="23"/>
        </w:rPr>
        <w:t xml:space="preserve"> 2 different data warehouses.</w:t>
      </w:r>
    </w:p>
    <w:p w14:paraId="568371DB" w14:textId="77777777" w:rsidR="008B1E3A" w:rsidRPr="008B1E3A" w:rsidRDefault="008B1E3A" w:rsidP="008B1E3A"/>
    <w:p w14:paraId="3BACC4A0" w14:textId="77777777" w:rsidR="00E7705E" w:rsidRDefault="00E7705E" w:rsidP="00E7705E">
      <w:pPr>
        <w:widowControl/>
        <w:numPr>
          <w:ilvl w:val="1"/>
          <w:numId w:val="11"/>
        </w:numPr>
        <w:autoSpaceDE w:val="0"/>
        <w:autoSpaceDN w:val="0"/>
        <w:adjustRightInd w:val="0"/>
        <w:spacing w:after="27"/>
        <w:rPr>
          <w:rFonts w:ascii="Times New Roman" w:hAnsi="Times New Roman" w:cs="Times New Roman"/>
          <w:sz w:val="23"/>
          <w:szCs w:val="23"/>
        </w:rPr>
      </w:pPr>
      <w:r w:rsidRPr="00E7705E">
        <w:rPr>
          <w:rFonts w:ascii="Times New Roman" w:hAnsi="Times New Roman" w:cs="Times New Roman"/>
          <w:sz w:val="23"/>
          <w:szCs w:val="23"/>
        </w:rPr>
        <w:t xml:space="preserve">6. In SDG&amp;E’s workpaper “CONFIDENTIAL_2019 GRC P2- Marg Gen Comm Cost (Chapter 6 Workpaper).xlsx,” please explain how SDG&amp;E derived the billing determinants on the tab “Determinants – Standard TOU.” Have these billing determinants been weather normalized? If so, please provide weather normalized responses to questions 1-5 in this data request. Please also provide weather normalized sets of the following data: </w:t>
      </w:r>
    </w:p>
    <w:p w14:paraId="29B1AA54" w14:textId="6412AE12" w:rsidR="00E7705E" w:rsidRPr="00E7705E" w:rsidRDefault="00E7705E" w:rsidP="00E7705E">
      <w:pPr>
        <w:widowControl/>
        <w:numPr>
          <w:ilvl w:val="1"/>
          <w:numId w:val="11"/>
        </w:numPr>
        <w:autoSpaceDE w:val="0"/>
        <w:autoSpaceDN w:val="0"/>
        <w:adjustRightInd w:val="0"/>
        <w:spacing w:after="27"/>
        <w:rPr>
          <w:rFonts w:ascii="Times New Roman" w:hAnsi="Times New Roman" w:cs="Times New Roman"/>
          <w:sz w:val="23"/>
          <w:szCs w:val="23"/>
        </w:rPr>
      </w:pPr>
      <w:r w:rsidRPr="00E7705E">
        <w:rPr>
          <w:rFonts w:ascii="Times New Roman" w:hAnsi="Times New Roman" w:cs="Times New Roman"/>
          <w:sz w:val="23"/>
          <w:szCs w:val="23"/>
        </w:rPr>
        <w:t xml:space="preserve">a. 2017 hourly generation-level hourly system load (retail) </w:t>
      </w:r>
    </w:p>
    <w:p w14:paraId="1FE019DB" w14:textId="77777777" w:rsidR="00E7705E" w:rsidRPr="00E7705E" w:rsidRDefault="00E7705E" w:rsidP="00E7705E">
      <w:pPr>
        <w:widowControl/>
        <w:numPr>
          <w:ilvl w:val="1"/>
          <w:numId w:val="11"/>
        </w:numPr>
        <w:autoSpaceDE w:val="0"/>
        <w:autoSpaceDN w:val="0"/>
        <w:adjustRightInd w:val="0"/>
        <w:rPr>
          <w:rFonts w:ascii="Times New Roman" w:hAnsi="Times New Roman" w:cs="Times New Roman"/>
          <w:sz w:val="23"/>
          <w:szCs w:val="23"/>
        </w:rPr>
      </w:pPr>
      <w:r w:rsidRPr="00E7705E">
        <w:rPr>
          <w:rFonts w:ascii="Times New Roman" w:hAnsi="Times New Roman" w:cs="Times New Roman"/>
          <w:sz w:val="23"/>
          <w:szCs w:val="23"/>
        </w:rPr>
        <w:t xml:space="preserve">b. 2017 system hourly renewable portfolio standard (RPS) generation </w:t>
      </w:r>
    </w:p>
    <w:p w14:paraId="734CA904" w14:textId="77777777" w:rsidR="00E7705E" w:rsidRPr="00E7705E" w:rsidRDefault="00E7705E" w:rsidP="00E7705E">
      <w:pPr>
        <w:widowControl/>
        <w:numPr>
          <w:ilvl w:val="1"/>
          <w:numId w:val="11"/>
        </w:numPr>
        <w:autoSpaceDE w:val="0"/>
        <w:autoSpaceDN w:val="0"/>
        <w:adjustRightInd w:val="0"/>
        <w:rPr>
          <w:rFonts w:ascii="Times New Roman" w:hAnsi="Times New Roman" w:cs="Times New Roman"/>
          <w:sz w:val="23"/>
          <w:szCs w:val="23"/>
        </w:rPr>
      </w:pPr>
    </w:p>
    <w:p w14:paraId="68E1EFAD" w14:textId="5443BBC6" w:rsidR="00F65911" w:rsidRDefault="00391A0D" w:rsidP="00CB269D">
      <w:pPr>
        <w:widowControl/>
        <w:rPr>
          <w:rFonts w:ascii="Times New Roman" w:hAnsi="Times New Roman" w:cs="Times New Roman"/>
          <w:b/>
          <w:color w:val="000000"/>
          <w:sz w:val="23"/>
          <w:szCs w:val="23"/>
        </w:rPr>
      </w:pPr>
      <w:r w:rsidRPr="00E6666A">
        <w:rPr>
          <w:rFonts w:ascii="Times New Roman" w:hAnsi="Times New Roman" w:cs="Times New Roman"/>
          <w:b/>
          <w:color w:val="000000"/>
          <w:sz w:val="23"/>
          <w:szCs w:val="23"/>
        </w:rPr>
        <w:t>SDG&amp;E Response</w:t>
      </w:r>
      <w:r>
        <w:rPr>
          <w:rFonts w:ascii="Times New Roman" w:hAnsi="Times New Roman" w:cs="Times New Roman"/>
          <w:b/>
          <w:color w:val="000000"/>
          <w:sz w:val="23"/>
          <w:szCs w:val="23"/>
        </w:rPr>
        <w:t>:</w:t>
      </w:r>
    </w:p>
    <w:p w14:paraId="45877897" w14:textId="792A14A4" w:rsidR="00391A0D" w:rsidRDefault="00391A0D" w:rsidP="00CB269D">
      <w:pPr>
        <w:widowControl/>
        <w:rPr>
          <w:rFonts w:ascii="Times New Roman" w:hAnsi="Times New Roman" w:cs="Times New Roman"/>
          <w:b/>
          <w:color w:val="000000"/>
          <w:sz w:val="23"/>
          <w:szCs w:val="23"/>
        </w:rPr>
      </w:pPr>
    </w:p>
    <w:p w14:paraId="6E2F48F3" w14:textId="3EF26B46" w:rsidR="00913E59" w:rsidRPr="00913E59" w:rsidRDefault="00913E59" w:rsidP="00913E59">
      <w:pPr>
        <w:rPr>
          <w:rFonts w:ascii="Times New Roman" w:hAnsi="Times New Roman" w:cs="Times New Roman"/>
          <w:sz w:val="23"/>
          <w:szCs w:val="23"/>
        </w:rPr>
      </w:pPr>
      <w:r w:rsidRPr="004F474B">
        <w:rPr>
          <w:rFonts w:ascii="Times New Roman" w:hAnsi="Times New Roman" w:cs="Times New Roman"/>
          <w:sz w:val="23"/>
          <w:szCs w:val="23"/>
        </w:rPr>
        <w:t xml:space="preserve">Forecasted billing determinants are created by multiplying the sales forecast with billing determinants that </w:t>
      </w:r>
      <w:r w:rsidRPr="00913E59">
        <w:rPr>
          <w:rFonts w:ascii="Times New Roman" w:hAnsi="Times New Roman" w:cs="Times New Roman"/>
          <w:sz w:val="23"/>
          <w:szCs w:val="23"/>
        </w:rPr>
        <w:t xml:space="preserve">are based on historical information.  The sales forecast is weather normalized on a 1-in-2 </w:t>
      </w:r>
      <w:r w:rsidR="00ED54E5">
        <w:rPr>
          <w:rFonts w:ascii="Times New Roman" w:hAnsi="Times New Roman" w:cs="Times New Roman"/>
          <w:sz w:val="23"/>
          <w:szCs w:val="23"/>
        </w:rPr>
        <w:t xml:space="preserve">year </w:t>
      </w:r>
      <w:r w:rsidRPr="00913E59">
        <w:rPr>
          <w:rFonts w:ascii="Times New Roman" w:hAnsi="Times New Roman" w:cs="Times New Roman"/>
          <w:sz w:val="23"/>
          <w:szCs w:val="23"/>
        </w:rPr>
        <w:t>basis by the CEC as part of the mid-level forecast used</w:t>
      </w:r>
      <w:r>
        <w:rPr>
          <w:rFonts w:ascii="Times New Roman" w:hAnsi="Times New Roman" w:cs="Times New Roman"/>
          <w:sz w:val="23"/>
          <w:szCs w:val="23"/>
        </w:rPr>
        <w:t>,</w:t>
      </w:r>
      <w:r w:rsidRPr="00913E59">
        <w:rPr>
          <w:rFonts w:ascii="Times New Roman" w:hAnsi="Times New Roman" w:cs="Times New Roman"/>
          <w:sz w:val="23"/>
          <w:szCs w:val="23"/>
        </w:rPr>
        <w:t xml:space="preserve"> but the historical billing determinant factors are not weather normalized,</w:t>
      </w:r>
      <w:r w:rsidR="00ED54E5">
        <w:rPr>
          <w:rFonts w:ascii="Times New Roman" w:hAnsi="Times New Roman" w:cs="Times New Roman"/>
          <w:sz w:val="23"/>
          <w:szCs w:val="23"/>
        </w:rPr>
        <w:t xml:space="preserve"> which</w:t>
      </w:r>
      <w:r w:rsidRPr="00913E59">
        <w:rPr>
          <w:rFonts w:ascii="Times New Roman" w:hAnsi="Times New Roman" w:cs="Times New Roman"/>
          <w:sz w:val="23"/>
          <w:szCs w:val="23"/>
        </w:rPr>
        <w:t xml:space="preserve"> are based on one year of historical data.</w:t>
      </w:r>
    </w:p>
    <w:p w14:paraId="270E963A" w14:textId="77777777" w:rsidR="00913E59" w:rsidRPr="00913E59" w:rsidRDefault="00913E59" w:rsidP="00913E59">
      <w:pPr>
        <w:rPr>
          <w:rFonts w:ascii="Times New Roman" w:hAnsi="Times New Roman" w:cs="Times New Roman"/>
          <w:sz w:val="23"/>
          <w:szCs w:val="23"/>
        </w:rPr>
      </w:pPr>
    </w:p>
    <w:p w14:paraId="75A603F6" w14:textId="62578780" w:rsidR="00913E59" w:rsidRPr="00913E59" w:rsidRDefault="004F3D2F" w:rsidP="00913E59">
      <w:pPr>
        <w:rPr>
          <w:rFonts w:ascii="Times New Roman" w:hAnsi="Times New Roman" w:cs="Times New Roman"/>
          <w:sz w:val="23"/>
          <w:szCs w:val="23"/>
        </w:rPr>
      </w:pPr>
      <w:r>
        <w:rPr>
          <w:rFonts w:ascii="Times New Roman" w:hAnsi="Times New Roman" w:cs="Times New Roman"/>
          <w:sz w:val="23"/>
          <w:szCs w:val="23"/>
        </w:rPr>
        <w:t>a</w:t>
      </w:r>
      <w:r w:rsidR="00913E59" w:rsidRPr="00913E59">
        <w:rPr>
          <w:rFonts w:ascii="Times New Roman" w:hAnsi="Times New Roman" w:cs="Times New Roman"/>
          <w:sz w:val="23"/>
          <w:szCs w:val="23"/>
        </w:rPr>
        <w:t>) SDG&amp;E does not have weather normalized 2017 hourly generation-level hourly system load. SDG&amp;E does not have available hourly normalized historical generation data, a</w:t>
      </w:r>
      <w:r w:rsidR="00525FB3">
        <w:rPr>
          <w:rFonts w:ascii="Times New Roman" w:hAnsi="Times New Roman" w:cs="Times New Roman"/>
          <w:sz w:val="23"/>
          <w:szCs w:val="23"/>
        </w:rPr>
        <w:t>nd SDG&amp;E does not have a model that calculates</w:t>
      </w:r>
      <w:r w:rsidR="00913E59" w:rsidRPr="00913E59">
        <w:rPr>
          <w:rFonts w:ascii="Times New Roman" w:hAnsi="Times New Roman" w:cs="Times New Roman"/>
          <w:sz w:val="23"/>
          <w:szCs w:val="23"/>
        </w:rPr>
        <w:t xml:space="preserve"> a normal weather scenario by hour</w:t>
      </w:r>
      <w:r w:rsidR="003450F6">
        <w:rPr>
          <w:rFonts w:ascii="Times New Roman" w:hAnsi="Times New Roman" w:cs="Times New Roman"/>
          <w:sz w:val="23"/>
          <w:szCs w:val="23"/>
        </w:rPr>
        <w:t>.</w:t>
      </w:r>
      <w:r w:rsidR="00913E59" w:rsidRPr="00913E59">
        <w:rPr>
          <w:rFonts w:ascii="Times New Roman" w:hAnsi="Times New Roman" w:cs="Times New Roman"/>
          <w:sz w:val="23"/>
          <w:szCs w:val="23"/>
        </w:rPr>
        <w:t> </w:t>
      </w:r>
    </w:p>
    <w:p w14:paraId="529AC986" w14:textId="77777777" w:rsidR="004F3D2F" w:rsidRDefault="004F3D2F" w:rsidP="00913E59">
      <w:pPr>
        <w:rPr>
          <w:rFonts w:ascii="Times New Roman" w:hAnsi="Times New Roman" w:cs="Times New Roman"/>
          <w:sz w:val="23"/>
          <w:szCs w:val="23"/>
        </w:rPr>
      </w:pPr>
    </w:p>
    <w:p w14:paraId="2B701AD4" w14:textId="77777777" w:rsidR="00525FB3" w:rsidRPr="00913E59" w:rsidRDefault="00913E59" w:rsidP="00525FB3">
      <w:pPr>
        <w:rPr>
          <w:rFonts w:ascii="Times New Roman" w:hAnsi="Times New Roman" w:cs="Times New Roman"/>
          <w:sz w:val="23"/>
          <w:szCs w:val="23"/>
        </w:rPr>
      </w:pPr>
      <w:r w:rsidRPr="00913E59">
        <w:rPr>
          <w:rFonts w:ascii="Times New Roman" w:hAnsi="Times New Roman" w:cs="Times New Roman"/>
          <w:sz w:val="23"/>
          <w:szCs w:val="23"/>
        </w:rPr>
        <w:t xml:space="preserve">b) SDG&amp;E does not have 2017 system hourly renewable portfolio standard (RPS) generation load. </w:t>
      </w:r>
      <w:r w:rsidR="00525FB3" w:rsidRPr="00913E59">
        <w:rPr>
          <w:rFonts w:ascii="Times New Roman" w:hAnsi="Times New Roman" w:cs="Times New Roman"/>
          <w:sz w:val="23"/>
          <w:szCs w:val="23"/>
        </w:rPr>
        <w:t>SDG&amp;E does not have available hourly normalized historical generation data, a</w:t>
      </w:r>
      <w:r w:rsidR="00525FB3">
        <w:rPr>
          <w:rFonts w:ascii="Times New Roman" w:hAnsi="Times New Roman" w:cs="Times New Roman"/>
          <w:sz w:val="23"/>
          <w:szCs w:val="23"/>
        </w:rPr>
        <w:t>nd SDG&amp;E does not have a model that calculates</w:t>
      </w:r>
      <w:r w:rsidR="00525FB3" w:rsidRPr="00913E59">
        <w:rPr>
          <w:rFonts w:ascii="Times New Roman" w:hAnsi="Times New Roman" w:cs="Times New Roman"/>
          <w:sz w:val="23"/>
          <w:szCs w:val="23"/>
        </w:rPr>
        <w:t xml:space="preserve"> a normal weather scenario by hour</w:t>
      </w:r>
      <w:r w:rsidR="00525FB3">
        <w:rPr>
          <w:rFonts w:ascii="Times New Roman" w:hAnsi="Times New Roman" w:cs="Times New Roman"/>
          <w:sz w:val="23"/>
          <w:szCs w:val="23"/>
        </w:rPr>
        <w:t>.</w:t>
      </w:r>
      <w:r w:rsidR="00525FB3" w:rsidRPr="00913E59">
        <w:rPr>
          <w:rFonts w:ascii="Times New Roman" w:hAnsi="Times New Roman" w:cs="Times New Roman"/>
          <w:sz w:val="23"/>
          <w:szCs w:val="23"/>
        </w:rPr>
        <w:t> </w:t>
      </w:r>
    </w:p>
    <w:p w14:paraId="7CF2ECD9" w14:textId="1E7C8E69" w:rsidR="00913E59" w:rsidRPr="00913E59" w:rsidRDefault="00913E59" w:rsidP="00913E59">
      <w:pPr>
        <w:rPr>
          <w:rFonts w:ascii="Times New Roman" w:hAnsi="Times New Roman" w:cs="Times New Roman"/>
          <w:sz w:val="23"/>
          <w:szCs w:val="23"/>
        </w:rPr>
      </w:pPr>
    </w:p>
    <w:p w14:paraId="0E754409" w14:textId="77777777" w:rsidR="00913E59" w:rsidRDefault="00913E59" w:rsidP="00913E59"/>
    <w:p w14:paraId="5E66C4F9" w14:textId="2F6511F7" w:rsidR="00391A0D" w:rsidRPr="00391A0D" w:rsidRDefault="00391A0D" w:rsidP="00913E59">
      <w:pPr>
        <w:widowControl/>
        <w:rPr>
          <w:rFonts w:ascii="Times New Roman" w:eastAsia="Times New Roman" w:hAnsi="Times New Roman" w:cs="Times New Roman"/>
          <w:sz w:val="24"/>
          <w:szCs w:val="24"/>
        </w:rPr>
      </w:pPr>
    </w:p>
    <w:sectPr w:rsidR="00391A0D" w:rsidRPr="00391A0D">
      <w:headerReference w:type="default" r:id="rId13"/>
      <w:footerReference w:type="default" r:id="rId14"/>
      <w:pgSz w:w="12240" w:h="15840"/>
      <w:pgMar w:top="1480" w:right="1220" w:bottom="1140" w:left="1180" w:header="0" w:footer="9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696D19" w14:textId="77777777" w:rsidR="00D3787C" w:rsidRDefault="00D3787C">
      <w:r>
        <w:separator/>
      </w:r>
    </w:p>
  </w:endnote>
  <w:endnote w:type="continuationSeparator" w:id="0">
    <w:p w14:paraId="398624C2" w14:textId="77777777" w:rsidR="00D3787C" w:rsidRDefault="00D3787C">
      <w:r>
        <w:continuationSeparator/>
      </w:r>
    </w:p>
  </w:endnote>
  <w:endnote w:type="continuationNotice" w:id="1">
    <w:p w14:paraId="3E6D95B0" w14:textId="77777777" w:rsidR="00D3787C" w:rsidRDefault="00D378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8332641"/>
      <w:docPartObj>
        <w:docPartGallery w:val="Page Numbers (Bottom of Page)"/>
        <w:docPartUnique/>
      </w:docPartObj>
    </w:sdtPr>
    <w:sdtEndPr>
      <w:rPr>
        <w:noProof/>
      </w:rPr>
    </w:sdtEndPr>
    <w:sdtContent>
      <w:p w14:paraId="3F6DD083" w14:textId="129CA02B" w:rsidR="00257835" w:rsidRDefault="00257835">
        <w:pPr>
          <w:pStyle w:val="Footer"/>
          <w:jc w:val="right"/>
        </w:pPr>
        <w:r>
          <w:fldChar w:fldCharType="begin"/>
        </w:r>
        <w:r>
          <w:instrText xml:space="preserve"> PAGE   \* MERGEFORMAT </w:instrText>
        </w:r>
        <w:r>
          <w:fldChar w:fldCharType="separate"/>
        </w:r>
        <w:r w:rsidR="00B670B5">
          <w:rPr>
            <w:noProof/>
          </w:rPr>
          <w:t>1</w:t>
        </w:r>
        <w:r>
          <w:rPr>
            <w:noProof/>
          </w:rPr>
          <w:fldChar w:fldCharType="end"/>
        </w:r>
      </w:p>
    </w:sdtContent>
  </w:sdt>
  <w:p w14:paraId="30DA468B" w14:textId="1C52C22D" w:rsidR="00257835" w:rsidRDefault="00257835">
    <w:pPr>
      <w:spacing w:line="200" w:lineRule="exac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F2665" w14:textId="77777777" w:rsidR="00D3787C" w:rsidRDefault="00D3787C">
      <w:r>
        <w:separator/>
      </w:r>
    </w:p>
  </w:footnote>
  <w:footnote w:type="continuationSeparator" w:id="0">
    <w:p w14:paraId="3A19C191" w14:textId="77777777" w:rsidR="00D3787C" w:rsidRDefault="00D3787C">
      <w:r>
        <w:continuationSeparator/>
      </w:r>
    </w:p>
  </w:footnote>
  <w:footnote w:type="continuationNotice" w:id="1">
    <w:p w14:paraId="3907AA81" w14:textId="77777777" w:rsidR="00D3787C" w:rsidRDefault="00D378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6C1B7" w14:textId="77777777" w:rsidR="00257835" w:rsidRDefault="00257835" w:rsidP="00E904AE">
    <w:pPr>
      <w:pStyle w:val="Default"/>
      <w:jc w:val="center"/>
      <w:rPr>
        <w:b/>
        <w:bCs/>
        <w:sz w:val="23"/>
        <w:szCs w:val="23"/>
      </w:rPr>
    </w:pPr>
    <w:r>
      <w:rPr>
        <w:b/>
        <w:bCs/>
        <w:sz w:val="23"/>
        <w:szCs w:val="23"/>
      </w:rPr>
      <w:softHyphen/>
    </w:r>
    <w:r>
      <w:rPr>
        <w:b/>
        <w:bCs/>
        <w:sz w:val="23"/>
        <w:szCs w:val="23"/>
      </w:rPr>
      <w:softHyphen/>
    </w:r>
    <w:r>
      <w:rPr>
        <w:b/>
        <w:bCs/>
        <w:sz w:val="23"/>
        <w:szCs w:val="23"/>
      </w:rPr>
      <w:softHyphen/>
    </w:r>
    <w:r>
      <w:rPr>
        <w:b/>
        <w:bCs/>
        <w:sz w:val="23"/>
        <w:szCs w:val="23"/>
      </w:rPr>
      <w:softHyphen/>
    </w:r>
    <w:r>
      <w:rPr>
        <w:b/>
        <w:bCs/>
        <w:sz w:val="23"/>
        <w:szCs w:val="23"/>
      </w:rPr>
      <w:softHyphen/>
    </w:r>
    <w:r>
      <w:rPr>
        <w:b/>
        <w:bCs/>
        <w:sz w:val="23"/>
        <w:szCs w:val="23"/>
      </w:rPr>
      <w:softHyphen/>
    </w:r>
  </w:p>
  <w:p w14:paraId="66AAF096" w14:textId="6875D1C5" w:rsidR="009D6650" w:rsidRPr="00BB3B03" w:rsidRDefault="006A724E" w:rsidP="009D6650">
    <w:pPr>
      <w:pStyle w:val="ListParagraph"/>
      <w:jc w:val="center"/>
      <w:rPr>
        <w:rFonts w:ascii="Times New Roman" w:hAnsi="Times New Roman" w:cs="Times New Roman"/>
        <w:b/>
      </w:rPr>
    </w:pPr>
    <w:r>
      <w:rPr>
        <w:rFonts w:ascii="Times New Roman" w:hAnsi="Times New Roman" w:cs="Times New Roman"/>
        <w:b/>
      </w:rPr>
      <w:t>CalPA</w:t>
    </w:r>
    <w:r w:rsidR="009D6650" w:rsidRPr="00BB3B03">
      <w:rPr>
        <w:rFonts w:ascii="Times New Roman" w:hAnsi="Times New Roman" w:cs="Times New Roman"/>
        <w:b/>
      </w:rPr>
      <w:t xml:space="preserve"> DATA REQUEST </w:t>
    </w:r>
    <w:r w:rsidR="009D6650" w:rsidRPr="00BB3B03">
      <w:rPr>
        <w:rFonts w:ascii="Times New Roman" w:hAnsi="Times New Roman" w:cs="Times New Roman"/>
        <w:b/>
      </w:rPr>
      <w:br/>
    </w:r>
    <w:r>
      <w:rPr>
        <w:rFonts w:ascii="Times New Roman" w:hAnsi="Times New Roman" w:cs="Times New Roman"/>
        <w:b/>
      </w:rPr>
      <w:t>#</w:t>
    </w:r>
    <w:r w:rsidR="00076B50">
      <w:rPr>
        <w:rFonts w:ascii="Times New Roman" w:hAnsi="Times New Roman" w:cs="Times New Roman"/>
        <w:b/>
      </w:rPr>
      <w:t>1</w:t>
    </w:r>
    <w:r w:rsidR="00E7705E">
      <w:rPr>
        <w:rFonts w:ascii="Times New Roman" w:hAnsi="Times New Roman" w:cs="Times New Roman"/>
        <w:b/>
      </w:rPr>
      <w:t>5</w:t>
    </w:r>
    <w:r w:rsidR="009D6650" w:rsidRPr="00BB3B03">
      <w:rPr>
        <w:rFonts w:ascii="Times New Roman" w:hAnsi="Times New Roman" w:cs="Times New Roman"/>
        <w:b/>
      </w:rPr>
      <w:br/>
      <w:t>SDG&amp;E PHASE 2 GRC PROCEEDING- A.19-0</w:t>
    </w:r>
    <w:r w:rsidR="00F25E6E">
      <w:rPr>
        <w:rFonts w:ascii="Times New Roman" w:hAnsi="Times New Roman" w:cs="Times New Roman"/>
        <w:b/>
      </w:rPr>
      <w:t>3</w:t>
    </w:r>
    <w:r w:rsidR="009D6650" w:rsidRPr="00BB3B03">
      <w:rPr>
        <w:rFonts w:ascii="Times New Roman" w:hAnsi="Times New Roman" w:cs="Times New Roman"/>
        <w:b/>
      </w:rPr>
      <w:t>-00</w:t>
    </w:r>
    <w:r w:rsidR="00F25E6E">
      <w:rPr>
        <w:rFonts w:ascii="Times New Roman" w:hAnsi="Times New Roman" w:cs="Times New Roman"/>
        <w:b/>
      </w:rPr>
      <w:t>2</w:t>
    </w:r>
    <w:r w:rsidR="009D6650" w:rsidRPr="00BB3B03">
      <w:rPr>
        <w:rFonts w:ascii="Times New Roman" w:hAnsi="Times New Roman" w:cs="Times New Roman"/>
        <w:b/>
      </w:rPr>
      <w:br/>
      <w:t xml:space="preserve">DATE RECEIVED: </w:t>
    </w:r>
    <w:r w:rsidR="00076B50">
      <w:rPr>
        <w:rFonts w:ascii="Times New Roman" w:hAnsi="Times New Roman" w:cs="Times New Roman"/>
        <w:b/>
      </w:rPr>
      <w:t xml:space="preserve">September </w:t>
    </w:r>
    <w:r w:rsidR="00E7705E">
      <w:rPr>
        <w:rFonts w:ascii="Times New Roman" w:hAnsi="Times New Roman" w:cs="Times New Roman"/>
        <w:b/>
      </w:rPr>
      <w:t>24</w:t>
    </w:r>
    <w:r w:rsidR="009D6650" w:rsidRPr="00BB3B03">
      <w:rPr>
        <w:rFonts w:ascii="Times New Roman" w:hAnsi="Times New Roman" w:cs="Times New Roman"/>
        <w:b/>
      </w:rPr>
      <w:t>, 2019</w:t>
    </w:r>
  </w:p>
  <w:p w14:paraId="46DCAB12" w14:textId="4A17A801" w:rsidR="009D6650" w:rsidRPr="00BB3B03" w:rsidRDefault="009D6650" w:rsidP="009D6650">
    <w:pPr>
      <w:pStyle w:val="ListParagraph"/>
      <w:jc w:val="center"/>
      <w:rPr>
        <w:rFonts w:ascii="Times New Roman" w:hAnsi="Times New Roman" w:cs="Times New Roman"/>
        <w:b/>
      </w:rPr>
    </w:pPr>
    <w:r w:rsidRPr="00BB3B03">
      <w:rPr>
        <w:rFonts w:ascii="Times New Roman" w:hAnsi="Times New Roman" w:cs="Times New Roman"/>
        <w:b/>
      </w:rPr>
      <w:t>DATE RESPONDED:</w:t>
    </w:r>
    <w:r>
      <w:rPr>
        <w:rFonts w:ascii="Times New Roman" w:hAnsi="Times New Roman" w:cs="Times New Roman"/>
        <w:b/>
      </w:rPr>
      <w:t xml:space="preserve"> </w:t>
    </w:r>
    <w:r w:rsidR="00F140DE">
      <w:rPr>
        <w:rFonts w:ascii="Times New Roman" w:hAnsi="Times New Roman" w:cs="Times New Roman"/>
        <w:b/>
      </w:rPr>
      <w:t xml:space="preserve">October </w:t>
    </w:r>
    <w:r w:rsidR="0040608E">
      <w:rPr>
        <w:rFonts w:ascii="Times New Roman" w:hAnsi="Times New Roman" w:cs="Times New Roman"/>
        <w:b/>
      </w:rPr>
      <w:t>10</w:t>
    </w:r>
    <w:r w:rsidR="00F25E6E">
      <w:rPr>
        <w:rFonts w:ascii="Times New Roman" w:hAnsi="Times New Roman" w:cs="Times New Roman"/>
        <w:b/>
      </w:rPr>
      <w:t>, 2019</w:t>
    </w:r>
  </w:p>
  <w:p w14:paraId="25BD10E8" w14:textId="77777777" w:rsidR="00257835" w:rsidRDefault="002578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3F23AF5"/>
    <w:multiLevelType w:val="hybridMultilevel"/>
    <w:tmpl w:val="63CCEBA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AE8DFA3"/>
    <w:multiLevelType w:val="hybridMultilevel"/>
    <w:tmpl w:val="2DFE77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A37B54"/>
    <w:multiLevelType w:val="hybridMultilevel"/>
    <w:tmpl w:val="776E54E4"/>
    <w:lvl w:ilvl="0" w:tplc="0409000F">
      <w:start w:val="1"/>
      <w:numFmt w:val="decimal"/>
      <w:lvlText w:val="%1."/>
      <w:lvlJc w:val="left"/>
      <w:pPr>
        <w:ind w:left="720" w:hanging="360"/>
      </w:pPr>
      <w:rPr>
        <w:rFonts w:hint="default"/>
      </w:rPr>
    </w:lvl>
    <w:lvl w:ilvl="1" w:tplc="23A01ED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14B33"/>
    <w:multiLevelType w:val="hybridMultilevel"/>
    <w:tmpl w:val="6EDC76D8"/>
    <w:lvl w:ilvl="0" w:tplc="93F2304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D57065E"/>
    <w:multiLevelType w:val="hybridMultilevel"/>
    <w:tmpl w:val="03A4FD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6031FB0"/>
    <w:multiLevelType w:val="multilevel"/>
    <w:tmpl w:val="BE92842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34A307B6"/>
    <w:multiLevelType w:val="hybridMultilevel"/>
    <w:tmpl w:val="16EA4DB4"/>
    <w:lvl w:ilvl="0" w:tplc="546045B2">
      <w:start w:val="1"/>
      <w:numFmt w:val="upperLetter"/>
      <w:lvlText w:val="%1."/>
      <w:lvlJc w:val="left"/>
      <w:pPr>
        <w:ind w:hanging="361"/>
      </w:pPr>
      <w:rPr>
        <w:rFonts w:ascii="Times New Roman" w:eastAsia="Times New Roman" w:hAnsi="Times New Roman" w:hint="default"/>
        <w:spacing w:val="-1"/>
        <w:sz w:val="22"/>
        <w:szCs w:val="22"/>
      </w:rPr>
    </w:lvl>
    <w:lvl w:ilvl="1" w:tplc="3948D4D2">
      <w:start w:val="1"/>
      <w:numFmt w:val="decimal"/>
      <w:lvlText w:val="%2."/>
      <w:lvlJc w:val="left"/>
      <w:pPr>
        <w:ind w:hanging="360"/>
      </w:pPr>
      <w:rPr>
        <w:rFonts w:ascii="Times New Roman" w:eastAsia="Times New Roman" w:hAnsi="Times New Roman" w:hint="default"/>
        <w:sz w:val="24"/>
        <w:szCs w:val="24"/>
      </w:rPr>
    </w:lvl>
    <w:lvl w:ilvl="2" w:tplc="F53ED514">
      <w:start w:val="1"/>
      <w:numFmt w:val="lowerLetter"/>
      <w:lvlText w:val="%3."/>
      <w:lvlJc w:val="left"/>
      <w:pPr>
        <w:ind w:hanging="360"/>
        <w:jc w:val="right"/>
      </w:pPr>
      <w:rPr>
        <w:rFonts w:ascii="Times New Roman" w:eastAsia="Times New Roman" w:hAnsi="Times New Roman" w:hint="default"/>
        <w:spacing w:val="-1"/>
        <w:sz w:val="24"/>
        <w:szCs w:val="24"/>
      </w:rPr>
    </w:lvl>
    <w:lvl w:ilvl="3" w:tplc="E480AD78">
      <w:start w:val="1"/>
      <w:numFmt w:val="lowerRoman"/>
      <w:lvlText w:val="%4."/>
      <w:lvlJc w:val="left"/>
      <w:pPr>
        <w:ind w:hanging="308"/>
        <w:jc w:val="right"/>
      </w:pPr>
      <w:rPr>
        <w:rFonts w:ascii="Times New Roman" w:eastAsia="Times New Roman" w:hAnsi="Times New Roman" w:hint="default"/>
        <w:sz w:val="24"/>
        <w:szCs w:val="24"/>
      </w:rPr>
    </w:lvl>
    <w:lvl w:ilvl="4" w:tplc="81F621A4">
      <w:start w:val="1"/>
      <w:numFmt w:val="bullet"/>
      <w:lvlText w:val="•"/>
      <w:lvlJc w:val="left"/>
      <w:rPr>
        <w:rFonts w:hint="default"/>
      </w:rPr>
    </w:lvl>
    <w:lvl w:ilvl="5" w:tplc="EA229F24">
      <w:start w:val="1"/>
      <w:numFmt w:val="bullet"/>
      <w:lvlText w:val="•"/>
      <w:lvlJc w:val="left"/>
      <w:rPr>
        <w:rFonts w:hint="default"/>
      </w:rPr>
    </w:lvl>
    <w:lvl w:ilvl="6" w:tplc="ACE2DC56">
      <w:start w:val="1"/>
      <w:numFmt w:val="bullet"/>
      <w:lvlText w:val="•"/>
      <w:lvlJc w:val="left"/>
      <w:rPr>
        <w:rFonts w:hint="default"/>
      </w:rPr>
    </w:lvl>
    <w:lvl w:ilvl="7" w:tplc="898C3E08">
      <w:start w:val="1"/>
      <w:numFmt w:val="bullet"/>
      <w:lvlText w:val="•"/>
      <w:lvlJc w:val="left"/>
      <w:rPr>
        <w:rFonts w:hint="default"/>
      </w:rPr>
    </w:lvl>
    <w:lvl w:ilvl="8" w:tplc="37D2C976">
      <w:start w:val="1"/>
      <w:numFmt w:val="bullet"/>
      <w:lvlText w:val="•"/>
      <w:lvlJc w:val="left"/>
      <w:rPr>
        <w:rFonts w:hint="default"/>
      </w:rPr>
    </w:lvl>
  </w:abstractNum>
  <w:abstractNum w:abstractNumId="7" w15:restartNumberingAfterBreak="0">
    <w:nsid w:val="563C7AE9"/>
    <w:multiLevelType w:val="hybridMultilevel"/>
    <w:tmpl w:val="0416000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D23A83"/>
    <w:multiLevelType w:val="hybridMultilevel"/>
    <w:tmpl w:val="1040D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0256D6"/>
    <w:multiLevelType w:val="hybridMultilevel"/>
    <w:tmpl w:val="F110A1B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BBF5984"/>
    <w:multiLevelType w:val="hybridMultilevel"/>
    <w:tmpl w:val="A8206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8"/>
  </w:num>
  <w:num w:numId="8">
    <w:abstractNumId w:val="2"/>
  </w:num>
  <w:num w:numId="9">
    <w:abstractNumId w:val="10"/>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1D6"/>
    <w:rsid w:val="000121A0"/>
    <w:rsid w:val="000133A9"/>
    <w:rsid w:val="00015BD1"/>
    <w:rsid w:val="000249E4"/>
    <w:rsid w:val="000473F3"/>
    <w:rsid w:val="00076B50"/>
    <w:rsid w:val="00090093"/>
    <w:rsid w:val="000932E2"/>
    <w:rsid w:val="000A6F05"/>
    <w:rsid w:val="000B710B"/>
    <w:rsid w:val="000D24BA"/>
    <w:rsid w:val="000D6ECD"/>
    <w:rsid w:val="000F5557"/>
    <w:rsid w:val="000F6F65"/>
    <w:rsid w:val="00101D98"/>
    <w:rsid w:val="00104F5E"/>
    <w:rsid w:val="0010718F"/>
    <w:rsid w:val="00117124"/>
    <w:rsid w:val="0012172A"/>
    <w:rsid w:val="00121E7C"/>
    <w:rsid w:val="00137417"/>
    <w:rsid w:val="00142C40"/>
    <w:rsid w:val="0014783D"/>
    <w:rsid w:val="00163795"/>
    <w:rsid w:val="00166C29"/>
    <w:rsid w:val="00167CF6"/>
    <w:rsid w:val="001729AE"/>
    <w:rsid w:val="00192F9B"/>
    <w:rsid w:val="00194819"/>
    <w:rsid w:val="00197618"/>
    <w:rsid w:val="001B6807"/>
    <w:rsid w:val="001E73D1"/>
    <w:rsid w:val="001F1F3B"/>
    <w:rsid w:val="001F2072"/>
    <w:rsid w:val="001F7360"/>
    <w:rsid w:val="00203105"/>
    <w:rsid w:val="002121F9"/>
    <w:rsid w:val="00227922"/>
    <w:rsid w:val="00227AD1"/>
    <w:rsid w:val="00230361"/>
    <w:rsid w:val="00242383"/>
    <w:rsid w:val="00246F20"/>
    <w:rsid w:val="00247644"/>
    <w:rsid w:val="002540A5"/>
    <w:rsid w:val="00256561"/>
    <w:rsid w:val="00257835"/>
    <w:rsid w:val="00264F5F"/>
    <w:rsid w:val="0027631B"/>
    <w:rsid w:val="002816EA"/>
    <w:rsid w:val="00294908"/>
    <w:rsid w:val="002A19BC"/>
    <w:rsid w:val="002A48B2"/>
    <w:rsid w:val="002B7723"/>
    <w:rsid w:val="002C3FC3"/>
    <w:rsid w:val="002C51C0"/>
    <w:rsid w:val="002C54A3"/>
    <w:rsid w:val="002E6BD7"/>
    <w:rsid w:val="002F2139"/>
    <w:rsid w:val="002F4871"/>
    <w:rsid w:val="00317A8F"/>
    <w:rsid w:val="00320693"/>
    <w:rsid w:val="00322EA2"/>
    <w:rsid w:val="00331DCE"/>
    <w:rsid w:val="00331F5A"/>
    <w:rsid w:val="003450F6"/>
    <w:rsid w:val="00360568"/>
    <w:rsid w:val="00361920"/>
    <w:rsid w:val="00362A8A"/>
    <w:rsid w:val="003719EA"/>
    <w:rsid w:val="003847FD"/>
    <w:rsid w:val="00391A0D"/>
    <w:rsid w:val="003920AA"/>
    <w:rsid w:val="00393377"/>
    <w:rsid w:val="003A6866"/>
    <w:rsid w:val="003B0D51"/>
    <w:rsid w:val="003B40AB"/>
    <w:rsid w:val="003B7BC2"/>
    <w:rsid w:val="003D0506"/>
    <w:rsid w:val="003D317D"/>
    <w:rsid w:val="003E1C2F"/>
    <w:rsid w:val="00404616"/>
    <w:rsid w:val="0040608E"/>
    <w:rsid w:val="00410E93"/>
    <w:rsid w:val="004178A0"/>
    <w:rsid w:val="00445522"/>
    <w:rsid w:val="004A0D4C"/>
    <w:rsid w:val="004B0621"/>
    <w:rsid w:val="004B7E27"/>
    <w:rsid w:val="004D1F01"/>
    <w:rsid w:val="004D375A"/>
    <w:rsid w:val="004F3D2F"/>
    <w:rsid w:val="004F474B"/>
    <w:rsid w:val="004F6A69"/>
    <w:rsid w:val="0050650D"/>
    <w:rsid w:val="00525FB3"/>
    <w:rsid w:val="00542997"/>
    <w:rsid w:val="00584FC4"/>
    <w:rsid w:val="00593616"/>
    <w:rsid w:val="005B5AF1"/>
    <w:rsid w:val="00621321"/>
    <w:rsid w:val="00657F6E"/>
    <w:rsid w:val="006659B7"/>
    <w:rsid w:val="006749F6"/>
    <w:rsid w:val="00676426"/>
    <w:rsid w:val="00683DE9"/>
    <w:rsid w:val="00690E56"/>
    <w:rsid w:val="0069799F"/>
    <w:rsid w:val="006A2A33"/>
    <w:rsid w:val="006A724E"/>
    <w:rsid w:val="006B7D74"/>
    <w:rsid w:val="006C46C9"/>
    <w:rsid w:val="006E073E"/>
    <w:rsid w:val="006F440F"/>
    <w:rsid w:val="0071629E"/>
    <w:rsid w:val="00727C31"/>
    <w:rsid w:val="0074366C"/>
    <w:rsid w:val="007449EF"/>
    <w:rsid w:val="00753147"/>
    <w:rsid w:val="0078262C"/>
    <w:rsid w:val="007876AA"/>
    <w:rsid w:val="00787AC5"/>
    <w:rsid w:val="007A7F06"/>
    <w:rsid w:val="007C3A48"/>
    <w:rsid w:val="007C5EF9"/>
    <w:rsid w:val="007D677E"/>
    <w:rsid w:val="007E4F06"/>
    <w:rsid w:val="007F0826"/>
    <w:rsid w:val="008113E5"/>
    <w:rsid w:val="00811904"/>
    <w:rsid w:val="008131FF"/>
    <w:rsid w:val="00817C7C"/>
    <w:rsid w:val="00817F06"/>
    <w:rsid w:val="008243E4"/>
    <w:rsid w:val="00824B85"/>
    <w:rsid w:val="00844369"/>
    <w:rsid w:val="0085302F"/>
    <w:rsid w:val="00855C82"/>
    <w:rsid w:val="0087248C"/>
    <w:rsid w:val="00883D24"/>
    <w:rsid w:val="008A5085"/>
    <w:rsid w:val="008A7402"/>
    <w:rsid w:val="008B1E3A"/>
    <w:rsid w:val="008C1929"/>
    <w:rsid w:val="008D0191"/>
    <w:rsid w:val="008F02E0"/>
    <w:rsid w:val="00907727"/>
    <w:rsid w:val="0091196E"/>
    <w:rsid w:val="00913E59"/>
    <w:rsid w:val="009146C4"/>
    <w:rsid w:val="00921C40"/>
    <w:rsid w:val="00922C0C"/>
    <w:rsid w:val="009274BB"/>
    <w:rsid w:val="009319FE"/>
    <w:rsid w:val="009412FB"/>
    <w:rsid w:val="00943820"/>
    <w:rsid w:val="00943B34"/>
    <w:rsid w:val="0095098F"/>
    <w:rsid w:val="0097209E"/>
    <w:rsid w:val="00990624"/>
    <w:rsid w:val="00990CB8"/>
    <w:rsid w:val="00993F4E"/>
    <w:rsid w:val="009A740A"/>
    <w:rsid w:val="009B18B5"/>
    <w:rsid w:val="009B3149"/>
    <w:rsid w:val="009B6AC0"/>
    <w:rsid w:val="009B7DCB"/>
    <w:rsid w:val="009C02E0"/>
    <w:rsid w:val="009D18E7"/>
    <w:rsid w:val="009D3F35"/>
    <w:rsid w:val="009D6650"/>
    <w:rsid w:val="009E0129"/>
    <w:rsid w:val="009F790A"/>
    <w:rsid w:val="00A06D28"/>
    <w:rsid w:val="00A06EFD"/>
    <w:rsid w:val="00A105D4"/>
    <w:rsid w:val="00A20CBF"/>
    <w:rsid w:val="00A30EF2"/>
    <w:rsid w:val="00A3337A"/>
    <w:rsid w:val="00A479CD"/>
    <w:rsid w:val="00A52FCF"/>
    <w:rsid w:val="00A90892"/>
    <w:rsid w:val="00A95F00"/>
    <w:rsid w:val="00AD7840"/>
    <w:rsid w:val="00AE1E1C"/>
    <w:rsid w:val="00AF59A2"/>
    <w:rsid w:val="00AF6700"/>
    <w:rsid w:val="00B05633"/>
    <w:rsid w:val="00B1392C"/>
    <w:rsid w:val="00B3116A"/>
    <w:rsid w:val="00B312AB"/>
    <w:rsid w:val="00B333AB"/>
    <w:rsid w:val="00B45304"/>
    <w:rsid w:val="00B603AB"/>
    <w:rsid w:val="00B64BDE"/>
    <w:rsid w:val="00B670B5"/>
    <w:rsid w:val="00B73736"/>
    <w:rsid w:val="00B754F4"/>
    <w:rsid w:val="00B97974"/>
    <w:rsid w:val="00BA7F23"/>
    <w:rsid w:val="00BB75F5"/>
    <w:rsid w:val="00BB79A4"/>
    <w:rsid w:val="00BC35A8"/>
    <w:rsid w:val="00BD16C2"/>
    <w:rsid w:val="00BE2AA1"/>
    <w:rsid w:val="00C03810"/>
    <w:rsid w:val="00C2679D"/>
    <w:rsid w:val="00C41588"/>
    <w:rsid w:val="00C7184F"/>
    <w:rsid w:val="00C92602"/>
    <w:rsid w:val="00CA22E0"/>
    <w:rsid w:val="00CA3F16"/>
    <w:rsid w:val="00CB0637"/>
    <w:rsid w:val="00CB269D"/>
    <w:rsid w:val="00CB7A9A"/>
    <w:rsid w:val="00CC5B87"/>
    <w:rsid w:val="00CE35CE"/>
    <w:rsid w:val="00D17473"/>
    <w:rsid w:val="00D23A7A"/>
    <w:rsid w:val="00D26552"/>
    <w:rsid w:val="00D33EA8"/>
    <w:rsid w:val="00D35420"/>
    <w:rsid w:val="00D3787C"/>
    <w:rsid w:val="00D51844"/>
    <w:rsid w:val="00D5475F"/>
    <w:rsid w:val="00D70CB3"/>
    <w:rsid w:val="00D771E6"/>
    <w:rsid w:val="00D917D0"/>
    <w:rsid w:val="00D9485E"/>
    <w:rsid w:val="00DA7DD9"/>
    <w:rsid w:val="00DB2529"/>
    <w:rsid w:val="00DB40E8"/>
    <w:rsid w:val="00DD169D"/>
    <w:rsid w:val="00E101F3"/>
    <w:rsid w:val="00E27865"/>
    <w:rsid w:val="00E335B9"/>
    <w:rsid w:val="00E41516"/>
    <w:rsid w:val="00E44CE6"/>
    <w:rsid w:val="00E4666A"/>
    <w:rsid w:val="00E6666A"/>
    <w:rsid w:val="00E7705E"/>
    <w:rsid w:val="00E77469"/>
    <w:rsid w:val="00E8350A"/>
    <w:rsid w:val="00E904AE"/>
    <w:rsid w:val="00E97312"/>
    <w:rsid w:val="00EA1598"/>
    <w:rsid w:val="00EB2BEA"/>
    <w:rsid w:val="00EB7811"/>
    <w:rsid w:val="00EC0FED"/>
    <w:rsid w:val="00EC4F83"/>
    <w:rsid w:val="00ED1A8B"/>
    <w:rsid w:val="00ED442A"/>
    <w:rsid w:val="00ED4C75"/>
    <w:rsid w:val="00ED54E5"/>
    <w:rsid w:val="00EF0B14"/>
    <w:rsid w:val="00F0056E"/>
    <w:rsid w:val="00F140DE"/>
    <w:rsid w:val="00F142ED"/>
    <w:rsid w:val="00F25E6E"/>
    <w:rsid w:val="00F33A6D"/>
    <w:rsid w:val="00F5199D"/>
    <w:rsid w:val="00F51D3E"/>
    <w:rsid w:val="00F571D6"/>
    <w:rsid w:val="00F65911"/>
    <w:rsid w:val="00F86E79"/>
    <w:rsid w:val="00F926AF"/>
    <w:rsid w:val="00FA43C2"/>
    <w:rsid w:val="00FB4157"/>
    <w:rsid w:val="00FF39E4"/>
    <w:rsid w:val="00FF7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6F7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Heading1">
    <w:name w:val="heading 1"/>
    <w:basedOn w:val="Normal"/>
    <w:uiPriority w:val="1"/>
    <w:qFormat/>
    <w:pPr>
      <w:ind w:left="116"/>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736" w:hanging="360"/>
    </w:pPr>
    <w:rPr>
      <w:rFonts w:ascii="Times New Roman" w:eastAsia="Times New Roman" w:hAnsi="Times New Roman"/>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customStyle="1" w:styleId="Default">
    <w:name w:val="Default"/>
    <w:rsid w:val="006C46C9"/>
    <w:pPr>
      <w:widowControl/>
      <w:autoSpaceDE w:val="0"/>
      <w:autoSpaceDN w:val="0"/>
      <w:adjustRightInd w:val="0"/>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E904AE"/>
    <w:pPr>
      <w:tabs>
        <w:tab w:val="center" w:pos="4680"/>
        <w:tab w:val="right" w:pos="9360"/>
      </w:tabs>
    </w:pPr>
  </w:style>
  <w:style w:type="character" w:customStyle="1" w:styleId="HeaderChar">
    <w:name w:val="Header Char"/>
    <w:basedOn w:val="DefaultParagraphFont"/>
    <w:link w:val="Header"/>
    <w:uiPriority w:val="99"/>
    <w:rsid w:val="00E904AE"/>
  </w:style>
  <w:style w:type="paragraph" w:styleId="Footer">
    <w:name w:val="footer"/>
    <w:basedOn w:val="Normal"/>
    <w:link w:val="FooterChar"/>
    <w:uiPriority w:val="99"/>
    <w:unhideWhenUsed/>
    <w:rsid w:val="00E904AE"/>
    <w:pPr>
      <w:tabs>
        <w:tab w:val="center" w:pos="4680"/>
        <w:tab w:val="right" w:pos="9360"/>
      </w:tabs>
    </w:pPr>
  </w:style>
  <w:style w:type="character" w:customStyle="1" w:styleId="FooterChar">
    <w:name w:val="Footer Char"/>
    <w:basedOn w:val="DefaultParagraphFont"/>
    <w:link w:val="Footer"/>
    <w:uiPriority w:val="99"/>
    <w:rsid w:val="00E904AE"/>
  </w:style>
  <w:style w:type="table" w:styleId="TableGrid">
    <w:name w:val="Table Grid"/>
    <w:basedOn w:val="TableNormal"/>
    <w:uiPriority w:val="39"/>
    <w:rsid w:val="002F4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70CB3"/>
    <w:rPr>
      <w:color w:val="0000FF" w:themeColor="hyperlink"/>
      <w:u w:val="single"/>
    </w:rPr>
  </w:style>
  <w:style w:type="character" w:styleId="Mention">
    <w:name w:val="Mention"/>
    <w:basedOn w:val="DefaultParagraphFont"/>
    <w:uiPriority w:val="99"/>
    <w:semiHidden/>
    <w:unhideWhenUsed/>
    <w:rsid w:val="00D70CB3"/>
    <w:rPr>
      <w:color w:val="2B579A"/>
      <w:shd w:val="clear" w:color="auto" w:fill="E6E6E6"/>
    </w:rPr>
  </w:style>
  <w:style w:type="character" w:styleId="CommentReference">
    <w:name w:val="annotation reference"/>
    <w:basedOn w:val="DefaultParagraphFont"/>
    <w:uiPriority w:val="99"/>
    <w:semiHidden/>
    <w:unhideWhenUsed/>
    <w:rsid w:val="003D317D"/>
    <w:rPr>
      <w:sz w:val="16"/>
      <w:szCs w:val="16"/>
    </w:rPr>
  </w:style>
  <w:style w:type="paragraph" w:styleId="CommentText">
    <w:name w:val="annotation text"/>
    <w:basedOn w:val="Normal"/>
    <w:link w:val="CommentTextChar"/>
    <w:uiPriority w:val="99"/>
    <w:semiHidden/>
    <w:unhideWhenUsed/>
    <w:rsid w:val="003D317D"/>
    <w:rPr>
      <w:sz w:val="20"/>
      <w:szCs w:val="20"/>
    </w:rPr>
  </w:style>
  <w:style w:type="character" w:customStyle="1" w:styleId="CommentTextChar">
    <w:name w:val="Comment Text Char"/>
    <w:basedOn w:val="DefaultParagraphFont"/>
    <w:link w:val="CommentText"/>
    <w:uiPriority w:val="99"/>
    <w:semiHidden/>
    <w:rsid w:val="003D317D"/>
    <w:rPr>
      <w:sz w:val="20"/>
      <w:szCs w:val="20"/>
    </w:rPr>
  </w:style>
  <w:style w:type="paragraph" w:styleId="CommentSubject">
    <w:name w:val="annotation subject"/>
    <w:basedOn w:val="CommentText"/>
    <w:next w:val="CommentText"/>
    <w:link w:val="CommentSubjectChar"/>
    <w:uiPriority w:val="99"/>
    <w:semiHidden/>
    <w:unhideWhenUsed/>
    <w:rsid w:val="003D317D"/>
    <w:rPr>
      <w:b/>
      <w:bCs/>
    </w:rPr>
  </w:style>
  <w:style w:type="character" w:customStyle="1" w:styleId="CommentSubjectChar">
    <w:name w:val="Comment Subject Char"/>
    <w:basedOn w:val="CommentTextChar"/>
    <w:link w:val="CommentSubject"/>
    <w:uiPriority w:val="99"/>
    <w:semiHidden/>
    <w:rsid w:val="003D317D"/>
    <w:rPr>
      <w:b/>
      <w:bCs/>
      <w:sz w:val="20"/>
      <w:szCs w:val="20"/>
    </w:rPr>
  </w:style>
  <w:style w:type="paragraph" w:styleId="BalloonText">
    <w:name w:val="Balloon Text"/>
    <w:basedOn w:val="Normal"/>
    <w:link w:val="BalloonTextChar"/>
    <w:uiPriority w:val="99"/>
    <w:semiHidden/>
    <w:unhideWhenUsed/>
    <w:rsid w:val="003D31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17D"/>
    <w:rPr>
      <w:rFonts w:ascii="Segoe UI" w:hAnsi="Segoe UI" w:cs="Segoe UI"/>
      <w:sz w:val="18"/>
      <w:szCs w:val="18"/>
    </w:rPr>
  </w:style>
  <w:style w:type="paragraph" w:styleId="FootnoteText">
    <w:name w:val="footnote text"/>
    <w:basedOn w:val="Normal"/>
    <w:link w:val="FootnoteTextChar"/>
    <w:uiPriority w:val="99"/>
    <w:semiHidden/>
    <w:unhideWhenUsed/>
    <w:rsid w:val="00B1392C"/>
    <w:rPr>
      <w:sz w:val="20"/>
      <w:szCs w:val="20"/>
    </w:rPr>
  </w:style>
  <w:style w:type="character" w:customStyle="1" w:styleId="FootnoteTextChar">
    <w:name w:val="Footnote Text Char"/>
    <w:basedOn w:val="DefaultParagraphFont"/>
    <w:link w:val="FootnoteText"/>
    <w:uiPriority w:val="99"/>
    <w:semiHidden/>
    <w:rsid w:val="00B1392C"/>
    <w:rPr>
      <w:sz w:val="20"/>
      <w:szCs w:val="20"/>
    </w:rPr>
  </w:style>
  <w:style w:type="character" w:styleId="FootnoteReference">
    <w:name w:val="footnote reference"/>
    <w:basedOn w:val="DefaultParagraphFont"/>
    <w:uiPriority w:val="99"/>
    <w:semiHidden/>
    <w:unhideWhenUsed/>
    <w:rsid w:val="00B1392C"/>
    <w:rPr>
      <w:vertAlign w:val="superscript"/>
    </w:rPr>
  </w:style>
  <w:style w:type="paragraph" w:styleId="Revision">
    <w:name w:val="Revision"/>
    <w:hidden/>
    <w:uiPriority w:val="99"/>
    <w:semiHidden/>
    <w:rsid w:val="0014783D"/>
    <w:pPr>
      <w:widowControl/>
    </w:pPr>
  </w:style>
  <w:style w:type="character" w:styleId="UnresolvedMention">
    <w:name w:val="Unresolved Mention"/>
    <w:basedOn w:val="DefaultParagraphFont"/>
    <w:uiPriority w:val="99"/>
    <w:semiHidden/>
    <w:unhideWhenUsed/>
    <w:rsid w:val="0009009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867208">
      <w:bodyDiv w:val="1"/>
      <w:marLeft w:val="0"/>
      <w:marRight w:val="0"/>
      <w:marTop w:val="0"/>
      <w:marBottom w:val="0"/>
      <w:divBdr>
        <w:top w:val="none" w:sz="0" w:space="0" w:color="auto"/>
        <w:left w:val="none" w:sz="0" w:space="0" w:color="auto"/>
        <w:bottom w:val="none" w:sz="0" w:space="0" w:color="auto"/>
        <w:right w:val="none" w:sz="0" w:space="0" w:color="auto"/>
      </w:divBdr>
    </w:div>
    <w:div w:id="326633373">
      <w:bodyDiv w:val="1"/>
      <w:marLeft w:val="0"/>
      <w:marRight w:val="0"/>
      <w:marTop w:val="0"/>
      <w:marBottom w:val="0"/>
      <w:divBdr>
        <w:top w:val="none" w:sz="0" w:space="0" w:color="auto"/>
        <w:left w:val="none" w:sz="0" w:space="0" w:color="auto"/>
        <w:bottom w:val="none" w:sz="0" w:space="0" w:color="auto"/>
        <w:right w:val="none" w:sz="0" w:space="0" w:color="auto"/>
      </w:divBdr>
    </w:div>
    <w:div w:id="510293559">
      <w:bodyDiv w:val="1"/>
      <w:marLeft w:val="0"/>
      <w:marRight w:val="0"/>
      <w:marTop w:val="0"/>
      <w:marBottom w:val="0"/>
      <w:divBdr>
        <w:top w:val="none" w:sz="0" w:space="0" w:color="auto"/>
        <w:left w:val="none" w:sz="0" w:space="0" w:color="auto"/>
        <w:bottom w:val="none" w:sz="0" w:space="0" w:color="auto"/>
        <w:right w:val="none" w:sz="0" w:space="0" w:color="auto"/>
      </w:divBdr>
    </w:div>
    <w:div w:id="580911572">
      <w:bodyDiv w:val="1"/>
      <w:marLeft w:val="0"/>
      <w:marRight w:val="0"/>
      <w:marTop w:val="0"/>
      <w:marBottom w:val="0"/>
      <w:divBdr>
        <w:top w:val="none" w:sz="0" w:space="0" w:color="auto"/>
        <w:left w:val="none" w:sz="0" w:space="0" w:color="auto"/>
        <w:bottom w:val="none" w:sz="0" w:space="0" w:color="auto"/>
        <w:right w:val="none" w:sz="0" w:space="0" w:color="auto"/>
      </w:divBdr>
    </w:div>
    <w:div w:id="632056213">
      <w:bodyDiv w:val="1"/>
      <w:marLeft w:val="0"/>
      <w:marRight w:val="0"/>
      <w:marTop w:val="0"/>
      <w:marBottom w:val="0"/>
      <w:divBdr>
        <w:top w:val="none" w:sz="0" w:space="0" w:color="auto"/>
        <w:left w:val="none" w:sz="0" w:space="0" w:color="auto"/>
        <w:bottom w:val="none" w:sz="0" w:space="0" w:color="auto"/>
        <w:right w:val="none" w:sz="0" w:space="0" w:color="auto"/>
      </w:divBdr>
    </w:div>
    <w:div w:id="692339133">
      <w:bodyDiv w:val="1"/>
      <w:marLeft w:val="0"/>
      <w:marRight w:val="0"/>
      <w:marTop w:val="0"/>
      <w:marBottom w:val="0"/>
      <w:divBdr>
        <w:top w:val="none" w:sz="0" w:space="0" w:color="auto"/>
        <w:left w:val="none" w:sz="0" w:space="0" w:color="auto"/>
        <w:bottom w:val="none" w:sz="0" w:space="0" w:color="auto"/>
        <w:right w:val="none" w:sz="0" w:space="0" w:color="auto"/>
      </w:divBdr>
    </w:div>
    <w:div w:id="702898025">
      <w:bodyDiv w:val="1"/>
      <w:marLeft w:val="0"/>
      <w:marRight w:val="0"/>
      <w:marTop w:val="0"/>
      <w:marBottom w:val="0"/>
      <w:divBdr>
        <w:top w:val="none" w:sz="0" w:space="0" w:color="auto"/>
        <w:left w:val="none" w:sz="0" w:space="0" w:color="auto"/>
        <w:bottom w:val="none" w:sz="0" w:space="0" w:color="auto"/>
        <w:right w:val="none" w:sz="0" w:space="0" w:color="auto"/>
      </w:divBdr>
    </w:div>
    <w:div w:id="884489216">
      <w:bodyDiv w:val="1"/>
      <w:marLeft w:val="0"/>
      <w:marRight w:val="0"/>
      <w:marTop w:val="0"/>
      <w:marBottom w:val="0"/>
      <w:divBdr>
        <w:top w:val="none" w:sz="0" w:space="0" w:color="auto"/>
        <w:left w:val="none" w:sz="0" w:space="0" w:color="auto"/>
        <w:bottom w:val="none" w:sz="0" w:space="0" w:color="auto"/>
        <w:right w:val="none" w:sz="0" w:space="0" w:color="auto"/>
      </w:divBdr>
    </w:div>
    <w:div w:id="955865238">
      <w:bodyDiv w:val="1"/>
      <w:marLeft w:val="0"/>
      <w:marRight w:val="0"/>
      <w:marTop w:val="0"/>
      <w:marBottom w:val="0"/>
      <w:divBdr>
        <w:top w:val="none" w:sz="0" w:space="0" w:color="auto"/>
        <w:left w:val="none" w:sz="0" w:space="0" w:color="auto"/>
        <w:bottom w:val="none" w:sz="0" w:space="0" w:color="auto"/>
        <w:right w:val="none" w:sz="0" w:space="0" w:color="auto"/>
      </w:divBdr>
    </w:div>
    <w:div w:id="1052540690">
      <w:bodyDiv w:val="1"/>
      <w:marLeft w:val="0"/>
      <w:marRight w:val="0"/>
      <w:marTop w:val="0"/>
      <w:marBottom w:val="0"/>
      <w:divBdr>
        <w:top w:val="none" w:sz="0" w:space="0" w:color="auto"/>
        <w:left w:val="none" w:sz="0" w:space="0" w:color="auto"/>
        <w:bottom w:val="none" w:sz="0" w:space="0" w:color="auto"/>
        <w:right w:val="none" w:sz="0" w:space="0" w:color="auto"/>
      </w:divBdr>
    </w:div>
    <w:div w:id="1213423900">
      <w:bodyDiv w:val="1"/>
      <w:marLeft w:val="0"/>
      <w:marRight w:val="0"/>
      <w:marTop w:val="0"/>
      <w:marBottom w:val="0"/>
      <w:divBdr>
        <w:top w:val="none" w:sz="0" w:space="0" w:color="auto"/>
        <w:left w:val="none" w:sz="0" w:space="0" w:color="auto"/>
        <w:bottom w:val="none" w:sz="0" w:space="0" w:color="auto"/>
        <w:right w:val="none" w:sz="0" w:space="0" w:color="auto"/>
      </w:divBdr>
    </w:div>
    <w:div w:id="1310745684">
      <w:bodyDiv w:val="1"/>
      <w:marLeft w:val="0"/>
      <w:marRight w:val="0"/>
      <w:marTop w:val="0"/>
      <w:marBottom w:val="0"/>
      <w:divBdr>
        <w:top w:val="none" w:sz="0" w:space="0" w:color="auto"/>
        <w:left w:val="none" w:sz="0" w:space="0" w:color="auto"/>
        <w:bottom w:val="none" w:sz="0" w:space="0" w:color="auto"/>
        <w:right w:val="none" w:sz="0" w:space="0" w:color="auto"/>
      </w:divBdr>
    </w:div>
    <w:div w:id="1374430312">
      <w:bodyDiv w:val="1"/>
      <w:marLeft w:val="0"/>
      <w:marRight w:val="0"/>
      <w:marTop w:val="0"/>
      <w:marBottom w:val="0"/>
      <w:divBdr>
        <w:top w:val="none" w:sz="0" w:space="0" w:color="auto"/>
        <w:left w:val="none" w:sz="0" w:space="0" w:color="auto"/>
        <w:bottom w:val="none" w:sz="0" w:space="0" w:color="auto"/>
        <w:right w:val="none" w:sz="0" w:space="0" w:color="auto"/>
      </w:divBdr>
    </w:div>
    <w:div w:id="2053963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26D59A010A8340A2E25458694F2546" ma:contentTypeVersion="9" ma:contentTypeDescription="Create a new document." ma:contentTypeScope="" ma:versionID="9b31e7fe62245138d0349cfc1300e401">
  <xsd:schema xmlns:xsd="http://www.w3.org/2001/XMLSchema" xmlns:xs="http://www.w3.org/2001/XMLSchema" xmlns:p="http://schemas.microsoft.com/office/2006/metadata/properties" xmlns:ns3="98b5a774-93ad-48ed-b3d9-82c8ebc4ce66" targetNamespace="http://schemas.microsoft.com/office/2006/metadata/properties" ma:root="true" ma:fieldsID="79673ad56e82a705080c6fd59caf8310" ns3:_="">
    <xsd:import namespace="98b5a774-93ad-48ed-b3d9-82c8ebc4ce6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b5a774-93ad-48ed-b3d9-82c8ebc4ce6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C5639-48C9-4E09-8411-156EDE25BA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b5a774-93ad-48ed-b3d9-82c8ebc4ce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F2DA64-D6BD-47C5-9600-AFC0063FFC41}">
  <ds:schemaRefs>
    <ds:schemaRef ds:uri="http://schemas.microsoft.com/sharepoint/v3/contenttype/forms"/>
  </ds:schemaRefs>
</ds:datastoreItem>
</file>

<file path=customXml/itemProps3.xml><?xml version="1.0" encoding="utf-8"?>
<ds:datastoreItem xmlns:ds="http://schemas.openxmlformats.org/officeDocument/2006/customXml" ds:itemID="{EEF36647-D2AA-4257-BEC8-14347EDE3E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6A3440-D7D3-4872-9B90-5B0A23C8D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2019-10-08T23:17:00Z</dcterms:created>
  <dcterms:modified xsi:type="dcterms:W3CDTF">2019-10-10T18:11:00Z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0x0101005026D59A010A8340A2E25458694F2546</vt:lpwstr>
  </property>
</Properties>
</file>